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20BF7" w14:textId="0D13EC85" w:rsidR="003D2917" w:rsidRPr="00314FD3" w:rsidRDefault="004D356C" w:rsidP="00392D9A">
      <w:pPr>
        <w:spacing w:before="480" w:after="0" w:line="240" w:lineRule="auto"/>
        <w:jc w:val="center"/>
        <w:rPr>
          <w:color w:val="0000FF"/>
        </w:rPr>
      </w:pPr>
      <w:r w:rsidRPr="00314FD3">
        <w:rPr>
          <w:b/>
          <w:sz w:val="32"/>
          <w:szCs w:val="24"/>
        </w:rPr>
        <w:t xml:space="preserve">Effects of linseed oil and sunflower oil alone or both with fish oil on </w:t>
      </w:r>
      <w:r w:rsidRPr="001B34D0">
        <w:rPr>
          <w:b/>
          <w:i/>
          <w:sz w:val="32"/>
          <w:szCs w:val="24"/>
        </w:rPr>
        <w:t>in vitro</w:t>
      </w:r>
      <w:r w:rsidRPr="00314FD3">
        <w:rPr>
          <w:b/>
          <w:sz w:val="32"/>
          <w:szCs w:val="24"/>
        </w:rPr>
        <w:t xml:space="preserve"> rumen fermentation and gas production</w:t>
      </w:r>
    </w:p>
    <w:p w14:paraId="6E11F4B2" w14:textId="00770B9A" w:rsidR="00BE415F" w:rsidRPr="00314FD3" w:rsidRDefault="00FE5BF3" w:rsidP="00316497">
      <w:pPr>
        <w:spacing w:before="240" w:after="240" w:line="240" w:lineRule="auto"/>
        <w:jc w:val="center"/>
        <w:rPr>
          <w:color w:val="0000FF"/>
          <w:sz w:val="23"/>
          <w:szCs w:val="23"/>
          <w:shd w:val="clear" w:color="auto" w:fill="FFFFFF"/>
          <w:vertAlign w:val="superscript"/>
        </w:rPr>
      </w:pPr>
      <w:r w:rsidRPr="00314FD3">
        <w:rPr>
          <w:sz w:val="24"/>
          <w:szCs w:val="20"/>
        </w:rPr>
        <w:t>Lam Phuoc Thanh</w:t>
      </w:r>
      <w:r w:rsidR="009A0204" w:rsidRPr="00314FD3">
        <w:rPr>
          <w:sz w:val="24"/>
          <w:szCs w:val="20"/>
          <w:vertAlign w:val="superscript"/>
        </w:rPr>
        <w:t>1,</w:t>
      </w:r>
      <w:r w:rsidR="009A0204" w:rsidRPr="00314FD3">
        <w:rPr>
          <w:sz w:val="24"/>
          <w:szCs w:val="20"/>
        </w:rPr>
        <w:t>*</w:t>
      </w:r>
      <w:r w:rsidRPr="00314FD3">
        <w:rPr>
          <w:sz w:val="24"/>
          <w:szCs w:val="20"/>
        </w:rPr>
        <w:t>, Pham Truong Thoai Kha</w:t>
      </w:r>
      <w:r w:rsidR="009A0204" w:rsidRPr="00314FD3">
        <w:rPr>
          <w:sz w:val="24"/>
          <w:szCs w:val="20"/>
          <w:vertAlign w:val="superscript"/>
        </w:rPr>
        <w:t>1</w:t>
      </w:r>
      <w:r w:rsidRPr="00314FD3">
        <w:rPr>
          <w:sz w:val="24"/>
          <w:szCs w:val="20"/>
        </w:rPr>
        <w:t xml:space="preserve"> and Tran Thi Thuy Hang</w:t>
      </w:r>
      <w:r w:rsidR="009A0204" w:rsidRPr="00314FD3">
        <w:rPr>
          <w:sz w:val="24"/>
          <w:szCs w:val="20"/>
          <w:vertAlign w:val="superscript"/>
        </w:rPr>
        <w:t>3</w:t>
      </w:r>
      <w:r w:rsidR="008110A5" w:rsidRPr="00314FD3">
        <w:t xml:space="preserve"> </w:t>
      </w:r>
    </w:p>
    <w:p w14:paraId="7ADD6A9B" w14:textId="06600EF0" w:rsidR="003B4486" w:rsidRPr="00314FD3" w:rsidRDefault="009A0204" w:rsidP="00F35E17">
      <w:pPr>
        <w:spacing w:after="0" w:line="240" w:lineRule="auto"/>
        <w:jc w:val="left"/>
        <w:rPr>
          <w:sz w:val="28"/>
          <w:szCs w:val="28"/>
        </w:rPr>
      </w:pPr>
      <w:r w:rsidRPr="00314FD3">
        <w:rPr>
          <w:sz w:val="22"/>
          <w:shd w:val="clear" w:color="auto" w:fill="FFFFFF"/>
          <w:vertAlign w:val="superscript"/>
        </w:rPr>
        <w:t>1</w:t>
      </w:r>
      <w:r w:rsidR="00FE5BF3" w:rsidRPr="00314FD3">
        <w:rPr>
          <w:sz w:val="22"/>
          <w:shd w:val="clear" w:color="auto" w:fill="FFFFFF"/>
        </w:rPr>
        <w:t>Department of Animal Sciences, Can Tho University, Ninh Kieu, Can Tho, Viet Nam</w:t>
      </w:r>
      <w:r w:rsidR="00FE5BF3" w:rsidRPr="00314FD3">
        <w:rPr>
          <w:sz w:val="22"/>
          <w:shd w:val="clear" w:color="auto" w:fill="FFFFFF"/>
        </w:rPr>
        <w:br/>
      </w:r>
      <w:r w:rsidR="00E156FC" w:rsidRPr="00314FD3">
        <w:rPr>
          <w:sz w:val="22"/>
          <w:shd w:val="clear" w:color="auto" w:fill="FFFFFF"/>
          <w:vertAlign w:val="superscript"/>
        </w:rPr>
        <w:t>2</w:t>
      </w:r>
      <w:r w:rsidR="00FE5BF3" w:rsidRPr="00314FD3">
        <w:rPr>
          <w:sz w:val="22"/>
          <w:shd w:val="clear" w:color="auto" w:fill="FFFFFF"/>
        </w:rPr>
        <w:t>Department of Agricultural Technology, Can Tho University, Phung Hiep, Hau Giang, Viet Nam</w:t>
      </w:r>
      <w:r w:rsidR="00FE5BF3" w:rsidRPr="00314FD3">
        <w:rPr>
          <w:sz w:val="28"/>
          <w:szCs w:val="28"/>
          <w:shd w:val="clear" w:color="auto" w:fill="FFFFFF"/>
        </w:rPr>
        <w:br/>
      </w:r>
    </w:p>
    <w:p w14:paraId="0E3704B7" w14:textId="19A57099" w:rsidR="00BE415F" w:rsidRPr="00314FD3" w:rsidRDefault="003429D0" w:rsidP="00F35E17">
      <w:pPr>
        <w:spacing w:after="0" w:line="240" w:lineRule="auto"/>
        <w:jc w:val="left"/>
        <w:rPr>
          <w:sz w:val="20"/>
          <w:szCs w:val="20"/>
        </w:rPr>
      </w:pPr>
      <w:r w:rsidRPr="00314FD3">
        <w:rPr>
          <w:sz w:val="22"/>
        </w:rPr>
        <w:t>*</w:t>
      </w:r>
      <w:r w:rsidR="00FE5BF3" w:rsidRPr="00314FD3">
        <w:rPr>
          <w:sz w:val="22"/>
          <w:shd w:val="clear" w:color="auto" w:fill="FFFFFF"/>
        </w:rPr>
        <w:t xml:space="preserve">Corresponding authors: </w:t>
      </w:r>
      <w:r w:rsidR="009F0969" w:rsidRPr="00314FD3">
        <w:rPr>
          <w:sz w:val="22"/>
          <w:shd w:val="clear" w:color="auto" w:fill="FFFFFF"/>
        </w:rPr>
        <w:sym w:font="Wingdings" w:char="F02A"/>
      </w:r>
      <w:r w:rsidR="00FE5BF3" w:rsidRPr="00314FD3">
        <w:rPr>
          <w:sz w:val="22"/>
          <w:shd w:val="clear" w:color="auto" w:fill="FFFFFF"/>
        </w:rPr>
        <w:t>phuocthanh@ctu.edu.vn</w:t>
      </w:r>
      <w:r w:rsidR="009F0969" w:rsidRPr="00314FD3">
        <w:rPr>
          <w:sz w:val="22"/>
          <w:shd w:val="clear" w:color="auto" w:fill="FFFFFF"/>
        </w:rPr>
        <w:t xml:space="preserve">; </w:t>
      </w:r>
      <w:r w:rsidR="009F0969" w:rsidRPr="00314FD3">
        <w:rPr>
          <w:sz w:val="22"/>
          <w:shd w:val="clear" w:color="auto" w:fill="FFFFFF"/>
        </w:rPr>
        <w:sym w:font="Wingdings" w:char="F029"/>
      </w:r>
      <w:r w:rsidR="009F0969" w:rsidRPr="00314FD3">
        <w:rPr>
          <w:sz w:val="22"/>
          <w:shd w:val="clear" w:color="auto" w:fill="FFFFFF"/>
        </w:rPr>
        <w:t xml:space="preserve"> +84 9 7576 3555</w:t>
      </w:r>
    </w:p>
    <w:p w14:paraId="7918C95C" w14:textId="46F1D0CC" w:rsidR="00DC3525" w:rsidRDefault="00DC3525" w:rsidP="00FE5BF3">
      <w:pPr>
        <w:spacing w:after="0" w:line="240" w:lineRule="auto"/>
        <w:rPr>
          <w:sz w:val="22"/>
          <w:szCs w:val="24"/>
        </w:rPr>
      </w:pPr>
    </w:p>
    <w:p w14:paraId="45E3FE0C" w14:textId="7F460A53" w:rsidR="00DC3525" w:rsidRPr="00D30F5E" w:rsidRDefault="00DC3525" w:rsidP="00FE5BF3">
      <w:pPr>
        <w:spacing w:after="0" w:line="240" w:lineRule="auto"/>
        <w:rPr>
          <w:b/>
          <w:sz w:val="24"/>
          <w:szCs w:val="28"/>
        </w:rPr>
      </w:pPr>
      <w:r w:rsidRPr="00D30F5E">
        <w:rPr>
          <w:b/>
          <w:sz w:val="24"/>
          <w:szCs w:val="28"/>
        </w:rPr>
        <w:t>ABSTRACT</w:t>
      </w:r>
    </w:p>
    <w:p w14:paraId="75433B39" w14:textId="3A94CA11" w:rsidR="00853133" w:rsidRPr="00D30F5E" w:rsidRDefault="00E156FC" w:rsidP="00DC3525">
      <w:pPr>
        <w:spacing w:before="120" w:after="0" w:line="240" w:lineRule="auto"/>
        <w:rPr>
          <w:sz w:val="28"/>
          <w:szCs w:val="28"/>
        </w:rPr>
      </w:pPr>
      <w:r w:rsidRPr="00D30F5E">
        <w:rPr>
          <w:sz w:val="24"/>
          <w:szCs w:val="28"/>
        </w:rPr>
        <w:t xml:space="preserve">This study was conducted to test the effects of supplementing different oils on </w:t>
      </w:r>
      <w:r w:rsidRPr="00D30F5E">
        <w:rPr>
          <w:i/>
          <w:sz w:val="24"/>
          <w:szCs w:val="28"/>
        </w:rPr>
        <w:t>in vitro</w:t>
      </w:r>
      <w:r w:rsidRPr="00D30F5E">
        <w:rPr>
          <w:sz w:val="24"/>
          <w:szCs w:val="28"/>
        </w:rPr>
        <w:t xml:space="preserve"> gas and CH</w:t>
      </w:r>
      <w:r w:rsidRPr="00D30F5E">
        <w:rPr>
          <w:sz w:val="24"/>
          <w:szCs w:val="28"/>
          <w:vertAlign w:val="subscript"/>
        </w:rPr>
        <w:t>4</w:t>
      </w:r>
      <w:r w:rsidRPr="00D30F5E">
        <w:rPr>
          <w:sz w:val="24"/>
          <w:szCs w:val="28"/>
        </w:rPr>
        <w:t xml:space="preserve"> production, ruminal fermentation, and digestibility. The study was carried out as a completely randomized design using rumen fluid obtained from three non-lactating Holstein Friesian dairy cows. The dietary treatments included: 1) high-concentrate diet without oil addition (Control), 2) linseed oil (LO), 3) sunflower oil (SO), 4) linseed oil and fish oil (LOFO), 5) sunflower oil and fish oil (SOFO), and 6) mixture of linseed oil with sunflower oil as well as fish oil (MIXO). The amount of added oils were at 3% DM. Cumulative gas production was recorded at 2, 4, 6, 8, 10, 12, 18, 24, 36, and 48 h incubation. </w:t>
      </w:r>
      <w:r w:rsidRPr="00D30F5E">
        <w:rPr>
          <w:i/>
          <w:sz w:val="24"/>
          <w:szCs w:val="28"/>
        </w:rPr>
        <w:t>In vitro</w:t>
      </w:r>
      <w:r w:rsidRPr="00D30F5E">
        <w:rPr>
          <w:sz w:val="24"/>
          <w:szCs w:val="28"/>
        </w:rPr>
        <w:t xml:space="preserve"> digestibilities were determined after 48 h incubation. Ruminal pH, NH</w:t>
      </w:r>
      <w:r w:rsidRPr="00D30F5E">
        <w:rPr>
          <w:sz w:val="24"/>
          <w:szCs w:val="28"/>
          <w:vertAlign w:val="subscript"/>
        </w:rPr>
        <w:t>3</w:t>
      </w:r>
      <w:r w:rsidRPr="00D30F5E">
        <w:rPr>
          <w:sz w:val="24"/>
          <w:szCs w:val="28"/>
        </w:rPr>
        <w:t>-N, VFA, and CH</w:t>
      </w:r>
      <w:r w:rsidRPr="00D30F5E">
        <w:rPr>
          <w:sz w:val="24"/>
          <w:szCs w:val="28"/>
          <w:vertAlign w:val="subscript"/>
        </w:rPr>
        <w:t>4</w:t>
      </w:r>
      <w:r w:rsidRPr="00D30F5E">
        <w:rPr>
          <w:sz w:val="24"/>
          <w:szCs w:val="28"/>
        </w:rPr>
        <w:t xml:space="preserve"> values were measured at 0, 2, 4, 6, and 24 h post incubation. Cumulative gas production at 48 h incubation and protozoa population were lower (P&lt;0.01) in the oils added in combination, such as LOFO, SOFO, and MIXO. Methane production was remarkably reduced (P&lt;0.001) after 24 h incubation by oil inclusion (except SO). Inclusion of SOFO had lower total VFA concentration, lower acetate proportion, and higher propionate proportion than the control. Supplementation of LOFO and SOFO declined (P&lt;0.05) microbial protein (MCP) synthesis and </w:t>
      </w:r>
      <w:r w:rsidRPr="00D30F5E">
        <w:rPr>
          <w:i/>
          <w:sz w:val="24"/>
          <w:szCs w:val="28"/>
        </w:rPr>
        <w:t>in vitro</w:t>
      </w:r>
      <w:r w:rsidRPr="00D30F5E">
        <w:rPr>
          <w:sz w:val="24"/>
          <w:szCs w:val="28"/>
        </w:rPr>
        <w:t xml:space="preserve"> digestibilities of true DM, OM, and NDF. Based on this study, it suggests that inclusion of MIXO could maintain ruminal fermentation and digestibility, but could decrease gas and CH</w:t>
      </w:r>
      <w:r w:rsidRPr="00D30F5E">
        <w:rPr>
          <w:sz w:val="24"/>
          <w:szCs w:val="28"/>
          <w:vertAlign w:val="subscript"/>
        </w:rPr>
        <w:t>4</w:t>
      </w:r>
      <w:r w:rsidRPr="00D30F5E">
        <w:rPr>
          <w:sz w:val="24"/>
          <w:szCs w:val="28"/>
        </w:rPr>
        <w:t xml:space="preserve"> production.</w:t>
      </w:r>
      <w:r w:rsidR="00E548AA" w:rsidRPr="00D30F5E">
        <w:rPr>
          <w:sz w:val="24"/>
          <w:szCs w:val="28"/>
        </w:rPr>
        <w:t xml:space="preserve"> </w:t>
      </w:r>
    </w:p>
    <w:p w14:paraId="236B5E80" w14:textId="691527D1" w:rsidR="00C1364A" w:rsidRPr="00314FD3" w:rsidRDefault="00C1364A" w:rsidP="00FE5BF3">
      <w:pPr>
        <w:spacing w:after="0" w:line="240" w:lineRule="auto"/>
        <w:rPr>
          <w:sz w:val="22"/>
        </w:rPr>
      </w:pPr>
    </w:p>
    <w:p w14:paraId="6BA57C87" w14:textId="03BE7EC7" w:rsidR="00C1364A" w:rsidRPr="007A4D58" w:rsidRDefault="00C1364A" w:rsidP="003B4486">
      <w:pPr>
        <w:spacing w:after="0" w:line="240" w:lineRule="auto"/>
        <w:jc w:val="left"/>
        <w:rPr>
          <w:sz w:val="24"/>
          <w:szCs w:val="24"/>
        </w:rPr>
      </w:pPr>
      <w:r w:rsidRPr="007A4D58">
        <w:rPr>
          <w:b/>
          <w:bCs/>
          <w:sz w:val="24"/>
          <w:szCs w:val="24"/>
        </w:rPr>
        <w:t>Keywords</w:t>
      </w:r>
      <w:r w:rsidRPr="007A4D58">
        <w:rPr>
          <w:sz w:val="24"/>
          <w:szCs w:val="24"/>
        </w:rPr>
        <w:t xml:space="preserve">: </w:t>
      </w:r>
      <w:r w:rsidR="00E156FC" w:rsidRPr="007A4D58">
        <w:rPr>
          <w:sz w:val="24"/>
          <w:szCs w:val="24"/>
        </w:rPr>
        <w:t>linseed oil, sunflower oil, fish oil, rumen fermentation, gas production</w:t>
      </w:r>
    </w:p>
    <w:p w14:paraId="3E124DDE" w14:textId="5F42129E" w:rsidR="001951E5" w:rsidRDefault="001951E5" w:rsidP="003B4486">
      <w:pPr>
        <w:spacing w:after="0" w:line="240" w:lineRule="auto"/>
        <w:jc w:val="left"/>
        <w:rPr>
          <w:sz w:val="22"/>
        </w:rPr>
      </w:pPr>
    </w:p>
    <w:p w14:paraId="04D1107E" w14:textId="63726420" w:rsidR="001951E5" w:rsidRDefault="001951E5" w:rsidP="003B4486">
      <w:pPr>
        <w:spacing w:after="0" w:line="240" w:lineRule="auto"/>
        <w:jc w:val="left"/>
        <w:rPr>
          <w:sz w:val="22"/>
        </w:rPr>
      </w:pPr>
    </w:p>
    <w:p w14:paraId="5FAEEA85" w14:textId="77777777" w:rsidR="001951E5" w:rsidRPr="00E05725" w:rsidRDefault="001951E5" w:rsidP="003B4486">
      <w:pPr>
        <w:spacing w:after="0" w:line="240" w:lineRule="auto"/>
        <w:jc w:val="left"/>
        <w:rPr>
          <w:b/>
          <w:bCs/>
          <w:color w:val="0070C0"/>
          <w:sz w:val="24"/>
          <w:szCs w:val="24"/>
        </w:rPr>
      </w:pPr>
      <w:r w:rsidRPr="00E05725">
        <w:rPr>
          <w:b/>
          <w:bCs/>
          <w:color w:val="0070C0"/>
          <w:sz w:val="24"/>
          <w:szCs w:val="24"/>
        </w:rPr>
        <w:t xml:space="preserve">Please note: </w:t>
      </w:r>
    </w:p>
    <w:p w14:paraId="3677FBDD" w14:textId="60023296" w:rsidR="001951E5" w:rsidRPr="00E05725" w:rsidRDefault="001951E5" w:rsidP="001951E5">
      <w:pPr>
        <w:pStyle w:val="ListParagraph"/>
        <w:numPr>
          <w:ilvl w:val="0"/>
          <w:numId w:val="2"/>
        </w:numPr>
        <w:spacing w:after="0" w:line="240" w:lineRule="auto"/>
        <w:rPr>
          <w:color w:val="0070C0"/>
          <w:sz w:val="24"/>
          <w:szCs w:val="24"/>
        </w:rPr>
      </w:pPr>
      <w:r w:rsidRPr="00E05725">
        <w:rPr>
          <w:color w:val="0070C0"/>
          <w:sz w:val="24"/>
          <w:szCs w:val="24"/>
        </w:rPr>
        <w:t>Abstract: An abstract with a single paragraph of no more than 300 words that should states important objectives, materials, results and principal conclusions of the study.</w:t>
      </w:r>
      <w:r w:rsidRPr="00E05725">
        <w:rPr>
          <w:color w:val="0070C0"/>
          <w:sz w:val="24"/>
          <w:szCs w:val="24"/>
        </w:rPr>
        <w:t xml:space="preserve"> </w:t>
      </w:r>
      <w:r w:rsidRPr="00E05725">
        <w:rPr>
          <w:color w:val="0070C0"/>
          <w:sz w:val="24"/>
          <w:szCs w:val="24"/>
        </w:rPr>
        <w:t>The results were summarized in an understandable form using statistical evidence (P-values). Abbreviations are defined at first use. Exclude references to other works. In the case authors want to add</w:t>
      </w:r>
      <w:bookmarkStart w:id="0" w:name="_GoBack"/>
      <w:bookmarkEnd w:id="0"/>
      <w:r w:rsidRPr="00E05725">
        <w:rPr>
          <w:color w:val="0070C0"/>
          <w:sz w:val="24"/>
          <w:szCs w:val="24"/>
        </w:rPr>
        <w:t xml:space="preserve"> a Figure/Table into the abstract (not more than one Figure/Table), the abstract should not more than 200 words.</w:t>
      </w:r>
    </w:p>
    <w:p w14:paraId="6370FFD8" w14:textId="0F736627" w:rsidR="001951E5" w:rsidRPr="00E05725" w:rsidRDefault="001951E5" w:rsidP="00FC4B45">
      <w:pPr>
        <w:pStyle w:val="ListParagraph"/>
        <w:numPr>
          <w:ilvl w:val="0"/>
          <w:numId w:val="2"/>
        </w:numPr>
        <w:spacing w:after="0" w:line="240" w:lineRule="auto"/>
        <w:rPr>
          <w:color w:val="0070C0"/>
          <w:sz w:val="24"/>
          <w:szCs w:val="24"/>
        </w:rPr>
      </w:pPr>
      <w:r w:rsidRPr="00E05725">
        <w:rPr>
          <w:color w:val="0070C0"/>
          <w:sz w:val="24"/>
          <w:szCs w:val="24"/>
        </w:rPr>
        <w:t>Key words: List up to 5 words in alphabetical order and separated by a comma. Capitalize only proper nouns. Do NOT use abbreviations. Place at the end of the abstract.</w:t>
      </w:r>
    </w:p>
    <w:p w14:paraId="4A1CB4E3" w14:textId="7107FEED" w:rsidR="007F0483" w:rsidRPr="00314FD3" w:rsidRDefault="007F0483" w:rsidP="00FE5BF3">
      <w:pPr>
        <w:spacing w:after="0" w:line="240" w:lineRule="auto"/>
        <w:rPr>
          <w:sz w:val="24"/>
          <w:szCs w:val="24"/>
        </w:rPr>
      </w:pPr>
    </w:p>
    <w:p w14:paraId="5ACBAE33" w14:textId="793DC05B" w:rsidR="007F0483" w:rsidRPr="00314FD3" w:rsidRDefault="007F0483" w:rsidP="00FE5BF3">
      <w:pPr>
        <w:spacing w:after="0" w:line="240" w:lineRule="auto"/>
        <w:rPr>
          <w:sz w:val="24"/>
          <w:szCs w:val="24"/>
        </w:rPr>
      </w:pPr>
    </w:p>
    <w:p w14:paraId="242895C4" w14:textId="77777777" w:rsidR="00E156FC" w:rsidRPr="00FC4B45" w:rsidRDefault="007F0483" w:rsidP="005429B5">
      <w:pPr>
        <w:pStyle w:val="Heading2"/>
        <w:rPr>
          <w:sz w:val="24"/>
          <w:szCs w:val="24"/>
        </w:rPr>
      </w:pPr>
      <w:r w:rsidRPr="00314FD3">
        <w:rPr>
          <w:sz w:val="24"/>
          <w:szCs w:val="24"/>
        </w:rPr>
        <w:br w:type="page"/>
      </w:r>
      <w:bookmarkStart w:id="1" w:name="_Toc420228166"/>
      <w:r w:rsidR="00E156FC" w:rsidRPr="00FC4B45">
        <w:rPr>
          <w:sz w:val="24"/>
          <w:szCs w:val="24"/>
        </w:rPr>
        <w:lastRenderedPageBreak/>
        <w:t>INTRODUCTION</w:t>
      </w:r>
      <w:bookmarkEnd w:id="1"/>
    </w:p>
    <w:p w14:paraId="440644C3" w14:textId="77777777" w:rsidR="00E156FC" w:rsidRPr="00FC4B45" w:rsidRDefault="00E156FC" w:rsidP="00E156FC">
      <w:pPr>
        <w:spacing w:before="120" w:after="0" w:line="240" w:lineRule="auto"/>
        <w:rPr>
          <w:rFonts w:cs="Times New Roman"/>
          <w:color w:val="000000"/>
          <w:sz w:val="24"/>
          <w:szCs w:val="24"/>
        </w:rPr>
      </w:pPr>
      <w:r w:rsidRPr="00FC4B45">
        <w:rPr>
          <w:rFonts w:cs="Times New Roman"/>
          <w:bCs/>
          <w:sz w:val="24"/>
          <w:szCs w:val="24"/>
        </w:rPr>
        <w:t xml:space="preserve">Conjugated linoleic acid (CLA), a group of geometric and positional isomers of linoleic acid (LA) with conjugated double bonds, is a fatty acid (FA) which can detect easily in ruminants-derived foods. Among CLA isomers in dairy products, </w:t>
      </w:r>
      <w:r w:rsidRPr="00FC4B45">
        <w:rPr>
          <w:rFonts w:cs="Times New Roman"/>
          <w:bCs/>
          <w:i/>
          <w:sz w:val="24"/>
          <w:szCs w:val="24"/>
        </w:rPr>
        <w:t>cis</w:t>
      </w:r>
      <w:r w:rsidRPr="00FC4B45">
        <w:rPr>
          <w:rFonts w:cs="Times New Roman"/>
          <w:bCs/>
          <w:sz w:val="24"/>
          <w:szCs w:val="24"/>
        </w:rPr>
        <w:t>-9,</w:t>
      </w:r>
      <w:r w:rsidRPr="00FC4B45">
        <w:rPr>
          <w:rFonts w:cs="Times New Roman"/>
          <w:bCs/>
          <w:i/>
          <w:sz w:val="24"/>
          <w:szCs w:val="24"/>
        </w:rPr>
        <w:t>trans</w:t>
      </w:r>
      <w:r w:rsidRPr="00FC4B45">
        <w:rPr>
          <w:rFonts w:cs="Times New Roman"/>
          <w:bCs/>
          <w:sz w:val="24"/>
          <w:szCs w:val="24"/>
        </w:rPr>
        <w:t xml:space="preserve">-11 has been known to exert various potent physiological functions such as anti-carcinogenic, anti-diabetic, anti-hypertensive, and anti-obese properties </w:t>
      </w:r>
      <w:r w:rsidRPr="00FC4B45">
        <w:rPr>
          <w:rFonts w:cs="Times New Roman"/>
          <w:bCs/>
          <w:noProof/>
          <w:sz w:val="24"/>
          <w:szCs w:val="24"/>
        </w:rPr>
        <w:t>(Koba and Yanagita, 2014)</w:t>
      </w:r>
      <w:r w:rsidRPr="00FC4B45">
        <w:rPr>
          <w:rFonts w:cs="Times New Roman"/>
          <w:bCs/>
          <w:sz w:val="24"/>
          <w:szCs w:val="24"/>
        </w:rPr>
        <w:t xml:space="preserve">. Omega-3 polyunsaturated fatty acids (PUFA) including alpha-linolenic acid (ALA), EPA, and DHA have important roles in </w:t>
      </w:r>
      <w:r w:rsidRPr="00FC4B45">
        <w:rPr>
          <w:rFonts w:cs="Times New Roman"/>
          <w:color w:val="000000"/>
          <w:sz w:val="24"/>
          <w:szCs w:val="24"/>
        </w:rPr>
        <w:t xml:space="preserve">anti-atherogenic, anti-inflammatory, immunemodulatory, and anti-arrhythmic properties </w:t>
      </w:r>
      <w:r w:rsidRPr="00FC4B45">
        <w:rPr>
          <w:rFonts w:cs="Times New Roman"/>
          <w:noProof/>
          <w:color w:val="000000"/>
          <w:sz w:val="24"/>
          <w:szCs w:val="24"/>
        </w:rPr>
        <w:t>(</w:t>
      </w:r>
      <w:r w:rsidRPr="00FC4B45">
        <w:rPr>
          <w:rFonts w:cs="Times New Roman"/>
          <w:noProof/>
          <w:sz w:val="24"/>
          <w:szCs w:val="24"/>
        </w:rPr>
        <w:t>Sekikawa et al., 2015</w:t>
      </w:r>
      <w:r w:rsidRPr="00FC4B45">
        <w:rPr>
          <w:rFonts w:cs="Times New Roman"/>
          <w:noProof/>
          <w:color w:val="000000"/>
          <w:sz w:val="24"/>
          <w:szCs w:val="24"/>
        </w:rPr>
        <w:t>)</w:t>
      </w:r>
      <w:r w:rsidRPr="00FC4B45">
        <w:rPr>
          <w:rFonts w:cs="Times New Roman"/>
          <w:color w:val="000000"/>
          <w:sz w:val="24"/>
          <w:szCs w:val="24"/>
        </w:rPr>
        <w:t xml:space="preserve">. Supplementation of vegetable oils such as linseed oil (LO) and sunflower oil (SO) improved the contents of CLA and ALA in milk </w:t>
      </w:r>
      <w:r w:rsidRPr="00FC4B45">
        <w:rPr>
          <w:rFonts w:cs="Times New Roman"/>
          <w:noProof/>
          <w:color w:val="000000"/>
          <w:sz w:val="24"/>
          <w:szCs w:val="24"/>
        </w:rPr>
        <w:t>(</w:t>
      </w:r>
      <w:r w:rsidRPr="00FC4B45">
        <w:rPr>
          <w:rFonts w:cs="Times New Roman"/>
          <w:noProof/>
          <w:sz w:val="24"/>
          <w:szCs w:val="24"/>
        </w:rPr>
        <w:t>Benchaar et al., 2012</w:t>
      </w:r>
      <w:r w:rsidRPr="00FC4B45">
        <w:rPr>
          <w:rFonts w:cs="Times New Roman"/>
          <w:noProof/>
          <w:color w:val="000000"/>
          <w:sz w:val="24"/>
          <w:szCs w:val="24"/>
        </w:rPr>
        <w:t xml:space="preserve">; </w:t>
      </w:r>
      <w:r w:rsidRPr="00FC4B45">
        <w:rPr>
          <w:rFonts w:cs="Times New Roman"/>
          <w:noProof/>
          <w:sz w:val="24"/>
          <w:szCs w:val="24"/>
        </w:rPr>
        <w:t>Rego et al., 2009</w:t>
      </w:r>
      <w:r w:rsidRPr="00FC4B45">
        <w:rPr>
          <w:rFonts w:cs="Times New Roman"/>
          <w:noProof/>
          <w:color w:val="000000"/>
          <w:sz w:val="24"/>
          <w:szCs w:val="24"/>
        </w:rPr>
        <w:t>)</w:t>
      </w:r>
      <w:r w:rsidRPr="00FC4B45">
        <w:rPr>
          <w:rFonts w:cs="Times New Roman"/>
          <w:color w:val="000000"/>
          <w:sz w:val="24"/>
          <w:szCs w:val="24"/>
        </w:rPr>
        <w:t xml:space="preserve">, whereas fish oil (FO) addition in the dairy cattle diet increased milk n-3 PUFA </w:t>
      </w:r>
      <w:r w:rsidRPr="00FC4B45">
        <w:rPr>
          <w:rFonts w:cs="Times New Roman"/>
          <w:noProof/>
          <w:color w:val="000000"/>
          <w:sz w:val="24"/>
          <w:szCs w:val="24"/>
        </w:rPr>
        <w:t>(</w:t>
      </w:r>
      <w:r w:rsidRPr="00FC4B45">
        <w:rPr>
          <w:rFonts w:cs="Times New Roman"/>
          <w:noProof/>
          <w:sz w:val="24"/>
          <w:szCs w:val="24"/>
        </w:rPr>
        <w:t>Vahmani et al., 2013</w:t>
      </w:r>
      <w:r w:rsidRPr="00FC4B45">
        <w:rPr>
          <w:rFonts w:cs="Times New Roman"/>
          <w:noProof/>
          <w:color w:val="000000"/>
          <w:sz w:val="24"/>
          <w:szCs w:val="24"/>
        </w:rPr>
        <w:t>)</w:t>
      </w:r>
      <w:r w:rsidRPr="00FC4B45">
        <w:rPr>
          <w:rFonts w:cs="Times New Roman"/>
          <w:color w:val="000000"/>
          <w:sz w:val="24"/>
          <w:szCs w:val="24"/>
        </w:rPr>
        <w:t>. Moreover, lipid supplementation has been researching extensively as an enteric CH</w:t>
      </w:r>
      <w:r w:rsidRPr="00FC4B45">
        <w:rPr>
          <w:rFonts w:cs="Times New Roman"/>
          <w:color w:val="000000"/>
          <w:sz w:val="24"/>
          <w:szCs w:val="24"/>
          <w:vertAlign w:val="subscript"/>
        </w:rPr>
        <w:t xml:space="preserve">4 </w:t>
      </w:r>
      <w:r w:rsidRPr="00FC4B45">
        <w:rPr>
          <w:rFonts w:cs="Times New Roman"/>
          <w:color w:val="000000"/>
          <w:sz w:val="24"/>
          <w:szCs w:val="24"/>
        </w:rPr>
        <w:t xml:space="preserve">mitigation strategy in ruminant feeding system </w:t>
      </w:r>
      <w:r w:rsidRPr="00FC4B45">
        <w:rPr>
          <w:rFonts w:cs="Times New Roman"/>
          <w:noProof/>
          <w:color w:val="000000"/>
          <w:sz w:val="24"/>
          <w:szCs w:val="24"/>
        </w:rPr>
        <w:t>(</w:t>
      </w:r>
      <w:r w:rsidRPr="00FC4B45">
        <w:rPr>
          <w:rFonts w:cs="Times New Roman"/>
          <w:noProof/>
          <w:sz w:val="24"/>
          <w:szCs w:val="24"/>
        </w:rPr>
        <w:t>Hristov et al., 2013</w:t>
      </w:r>
      <w:r w:rsidRPr="00FC4B45">
        <w:rPr>
          <w:rFonts w:cs="Times New Roman"/>
          <w:noProof/>
          <w:color w:val="000000"/>
          <w:sz w:val="24"/>
          <w:szCs w:val="24"/>
        </w:rPr>
        <w:t xml:space="preserve">; </w:t>
      </w:r>
      <w:r w:rsidRPr="00FC4B45">
        <w:rPr>
          <w:rFonts w:cs="Times New Roman"/>
          <w:noProof/>
          <w:sz w:val="24"/>
          <w:szCs w:val="24"/>
        </w:rPr>
        <w:t>Knapp et al., 2014</w:t>
      </w:r>
      <w:r w:rsidRPr="00FC4B45">
        <w:rPr>
          <w:rFonts w:cs="Times New Roman"/>
          <w:noProof/>
          <w:color w:val="000000"/>
          <w:sz w:val="24"/>
          <w:szCs w:val="24"/>
        </w:rPr>
        <w:t>)</w:t>
      </w:r>
      <w:r w:rsidRPr="00FC4B45">
        <w:rPr>
          <w:rFonts w:cs="Times New Roman"/>
          <w:color w:val="000000"/>
          <w:sz w:val="24"/>
          <w:szCs w:val="24"/>
        </w:rPr>
        <w:t xml:space="preserve">. </w:t>
      </w:r>
      <w:r w:rsidRPr="00FC4B45">
        <w:rPr>
          <w:rFonts w:cs="Times New Roman"/>
          <w:noProof/>
          <w:sz w:val="24"/>
          <w:szCs w:val="24"/>
        </w:rPr>
        <w:t>Climate Change Central (2010)</w:t>
      </w:r>
      <w:r w:rsidRPr="00FC4B45">
        <w:rPr>
          <w:rFonts w:cs="Times New Roman"/>
          <w:color w:val="000000"/>
          <w:sz w:val="24"/>
          <w:szCs w:val="24"/>
        </w:rPr>
        <w:t xml:space="preserve"> in Alberta, Canada already recognizes oil addition as a strategy to abate </w:t>
      </w:r>
      <w:r w:rsidRPr="00FC4B45">
        <w:rPr>
          <w:rFonts w:cs="Times New Roman"/>
          <w:sz w:val="24"/>
          <w:szCs w:val="24"/>
        </w:rPr>
        <w:t>CH</w:t>
      </w:r>
      <w:r w:rsidRPr="00FC4B45">
        <w:rPr>
          <w:rFonts w:cs="Times New Roman"/>
          <w:sz w:val="24"/>
          <w:szCs w:val="24"/>
          <w:vertAlign w:val="subscript"/>
        </w:rPr>
        <w:t>4</w:t>
      </w:r>
      <w:r w:rsidRPr="00FC4B45">
        <w:rPr>
          <w:rFonts w:cs="Times New Roman"/>
          <w:color w:val="000000"/>
          <w:sz w:val="24"/>
          <w:szCs w:val="24"/>
        </w:rPr>
        <w:t xml:space="preserve"> emission from dairy cattle under their protocols. However, supplemental oil may cause to reduce digestibilities of dry matter (DM) and neutral detergent fiber (NDF) </w:t>
      </w:r>
      <w:r w:rsidRPr="00FC4B45">
        <w:rPr>
          <w:rFonts w:cs="Times New Roman"/>
          <w:noProof/>
          <w:color w:val="000000"/>
          <w:sz w:val="24"/>
          <w:szCs w:val="24"/>
        </w:rPr>
        <w:t>(</w:t>
      </w:r>
      <w:r w:rsidRPr="00FC4B45">
        <w:rPr>
          <w:rFonts w:cs="Times New Roman"/>
          <w:noProof/>
          <w:sz w:val="24"/>
          <w:szCs w:val="24"/>
        </w:rPr>
        <w:t>Patra, 2014</w:t>
      </w:r>
      <w:r w:rsidRPr="00FC4B45">
        <w:rPr>
          <w:rFonts w:cs="Times New Roman"/>
          <w:noProof/>
          <w:color w:val="000000"/>
          <w:sz w:val="24"/>
          <w:szCs w:val="24"/>
        </w:rPr>
        <w:t>)</w:t>
      </w:r>
      <w:r w:rsidRPr="00FC4B45">
        <w:rPr>
          <w:rFonts w:cs="Times New Roman"/>
          <w:color w:val="000000"/>
          <w:sz w:val="24"/>
          <w:szCs w:val="24"/>
        </w:rPr>
        <w:t>, reflecting in decreased animal performance, which may limit the use of oils to mitigate CH</w:t>
      </w:r>
      <w:r w:rsidRPr="00FC4B45">
        <w:rPr>
          <w:rFonts w:cs="Times New Roman"/>
          <w:color w:val="000000"/>
          <w:sz w:val="24"/>
          <w:szCs w:val="24"/>
          <w:vertAlign w:val="subscript"/>
        </w:rPr>
        <w:t>4</w:t>
      </w:r>
      <w:r w:rsidRPr="00FC4B45">
        <w:rPr>
          <w:rFonts w:cs="Times New Roman"/>
          <w:color w:val="000000"/>
          <w:sz w:val="24"/>
          <w:szCs w:val="24"/>
        </w:rPr>
        <w:t xml:space="preserve"> emissions in ruminants. The effect of added oils on CH</w:t>
      </w:r>
      <w:r w:rsidRPr="00FC4B45">
        <w:rPr>
          <w:rFonts w:cs="Times New Roman"/>
          <w:color w:val="000000"/>
          <w:sz w:val="24"/>
          <w:szCs w:val="24"/>
          <w:vertAlign w:val="subscript"/>
        </w:rPr>
        <w:t>4</w:t>
      </w:r>
      <w:r w:rsidRPr="00FC4B45">
        <w:rPr>
          <w:rFonts w:cs="Times New Roman"/>
          <w:color w:val="000000"/>
          <w:sz w:val="24"/>
          <w:szCs w:val="24"/>
        </w:rPr>
        <w:t xml:space="preserve"> production depends on the source, FA profile, and inclusion level </w:t>
      </w:r>
      <w:r w:rsidRPr="00FC4B45">
        <w:rPr>
          <w:rFonts w:cs="Times New Roman"/>
          <w:noProof/>
          <w:color w:val="000000"/>
          <w:sz w:val="24"/>
          <w:szCs w:val="24"/>
        </w:rPr>
        <w:t>(</w:t>
      </w:r>
      <w:r w:rsidRPr="00FC4B45">
        <w:rPr>
          <w:rFonts w:cs="Times New Roman"/>
          <w:noProof/>
          <w:sz w:val="24"/>
          <w:szCs w:val="24"/>
        </w:rPr>
        <w:t>Knapp et al., 2014</w:t>
      </w:r>
      <w:r w:rsidRPr="00FC4B45">
        <w:rPr>
          <w:rFonts w:cs="Times New Roman"/>
          <w:noProof/>
          <w:color w:val="000000"/>
          <w:sz w:val="24"/>
          <w:szCs w:val="24"/>
        </w:rPr>
        <w:t>)</w:t>
      </w:r>
      <w:r w:rsidRPr="00FC4B45">
        <w:rPr>
          <w:rFonts w:cs="Times New Roman"/>
          <w:color w:val="000000"/>
          <w:sz w:val="24"/>
          <w:szCs w:val="24"/>
        </w:rPr>
        <w:t>. Therefore, an ideal oil addition which doesn’t have negative effects on digestibility and ruminal fermentation, but still has greater lowering influence on CH</w:t>
      </w:r>
      <w:r w:rsidRPr="00FC4B45">
        <w:rPr>
          <w:rFonts w:cs="Times New Roman"/>
          <w:color w:val="000000"/>
          <w:sz w:val="24"/>
          <w:szCs w:val="24"/>
          <w:vertAlign w:val="subscript"/>
        </w:rPr>
        <w:t>4</w:t>
      </w:r>
      <w:r w:rsidRPr="00FC4B45">
        <w:rPr>
          <w:rFonts w:cs="Times New Roman"/>
          <w:color w:val="000000"/>
          <w:sz w:val="24"/>
          <w:szCs w:val="24"/>
        </w:rPr>
        <w:t xml:space="preserve"> production should be studied. This study aimed to investigate the effects of supplementing different oils on </w:t>
      </w:r>
      <w:r w:rsidRPr="00FC4B45">
        <w:rPr>
          <w:rFonts w:cs="Times New Roman"/>
          <w:i/>
          <w:color w:val="000000"/>
          <w:sz w:val="24"/>
          <w:szCs w:val="24"/>
        </w:rPr>
        <w:t>in vitro</w:t>
      </w:r>
      <w:r w:rsidRPr="00FC4B45">
        <w:rPr>
          <w:rFonts w:cs="Times New Roman"/>
          <w:color w:val="000000"/>
          <w:sz w:val="24"/>
          <w:szCs w:val="24"/>
        </w:rPr>
        <w:t xml:space="preserve"> gas and </w:t>
      </w:r>
      <w:r w:rsidRPr="00FC4B45">
        <w:rPr>
          <w:rFonts w:cs="Times New Roman"/>
          <w:sz w:val="24"/>
          <w:szCs w:val="24"/>
        </w:rPr>
        <w:t>CH</w:t>
      </w:r>
      <w:r w:rsidRPr="00FC4B45">
        <w:rPr>
          <w:rFonts w:cs="Times New Roman"/>
          <w:sz w:val="24"/>
          <w:szCs w:val="24"/>
          <w:vertAlign w:val="subscript"/>
        </w:rPr>
        <w:t>4</w:t>
      </w:r>
      <w:r w:rsidRPr="00FC4B45">
        <w:rPr>
          <w:rFonts w:cs="Times New Roman"/>
          <w:color w:val="000000"/>
          <w:sz w:val="24"/>
          <w:szCs w:val="24"/>
        </w:rPr>
        <w:t xml:space="preserve"> production, ruminal fermentation, and digestibility.</w:t>
      </w:r>
    </w:p>
    <w:p w14:paraId="3F88CE66" w14:textId="77777777" w:rsidR="00E156FC" w:rsidRPr="00FC4B45" w:rsidRDefault="00E156FC" w:rsidP="005429B5">
      <w:pPr>
        <w:pStyle w:val="Heading2"/>
        <w:rPr>
          <w:sz w:val="24"/>
          <w:szCs w:val="24"/>
        </w:rPr>
      </w:pPr>
      <w:bookmarkStart w:id="2" w:name="_Toc420228167"/>
      <w:r w:rsidRPr="00FC4B45">
        <w:rPr>
          <w:sz w:val="24"/>
          <w:szCs w:val="24"/>
        </w:rPr>
        <w:t>MATERIALS AND METHODS</w:t>
      </w:r>
      <w:bookmarkEnd w:id="2"/>
    </w:p>
    <w:p w14:paraId="7E62E58F" w14:textId="10A68B44" w:rsidR="00E156FC" w:rsidRPr="00FC4B45" w:rsidRDefault="00E156FC" w:rsidP="00E156FC">
      <w:pPr>
        <w:pStyle w:val="ListParagraph"/>
        <w:spacing w:before="120" w:after="0" w:line="240" w:lineRule="auto"/>
        <w:ind w:left="0"/>
        <w:rPr>
          <w:rFonts w:cs="Times New Roman"/>
          <w:bCs/>
          <w:sz w:val="24"/>
          <w:szCs w:val="24"/>
        </w:rPr>
      </w:pPr>
      <w:bookmarkStart w:id="3" w:name="_Toc420228168"/>
      <w:r w:rsidRPr="00FC4B45">
        <w:rPr>
          <w:rFonts w:cs="Times New Roman"/>
          <w:b/>
          <w:sz w:val="24"/>
          <w:szCs w:val="24"/>
          <w:shd w:val="clear" w:color="auto" w:fill="FFFFFF"/>
        </w:rPr>
        <w:t>Experimental design and treatments</w:t>
      </w:r>
      <w:bookmarkEnd w:id="3"/>
      <w:r w:rsidRPr="00FC4B45">
        <w:rPr>
          <w:rFonts w:cs="Times New Roman"/>
          <w:b/>
          <w:sz w:val="24"/>
          <w:szCs w:val="24"/>
          <w:shd w:val="clear" w:color="auto" w:fill="FFFFFF"/>
        </w:rPr>
        <w:t>:</w:t>
      </w:r>
      <w:r w:rsidRPr="00FC4B45">
        <w:rPr>
          <w:rFonts w:cs="Times New Roman"/>
          <w:b/>
          <w:i/>
          <w:sz w:val="24"/>
          <w:szCs w:val="24"/>
          <w:shd w:val="clear" w:color="auto" w:fill="FFFFFF"/>
        </w:rPr>
        <w:t xml:space="preserve"> </w:t>
      </w:r>
      <w:r w:rsidRPr="00FC4B45">
        <w:rPr>
          <w:rFonts w:cs="Times New Roman"/>
          <w:bCs/>
          <w:sz w:val="24"/>
          <w:szCs w:val="24"/>
        </w:rPr>
        <w:t xml:space="preserve">This experiment was carried out using a syringe gas production technique. The experiment was conducted as a completely randomized design with the treatments included: 1) </w:t>
      </w:r>
      <w:r w:rsidRPr="00FC4B45">
        <w:rPr>
          <w:rFonts w:cs="Times New Roman"/>
          <w:color w:val="000000"/>
          <w:sz w:val="24"/>
          <w:szCs w:val="24"/>
        </w:rPr>
        <w:t>high-concentrate diet without oil addition</w:t>
      </w:r>
      <w:r w:rsidRPr="00FC4B45">
        <w:rPr>
          <w:rFonts w:cs="Times New Roman"/>
          <w:bCs/>
          <w:sz w:val="24"/>
          <w:szCs w:val="24"/>
        </w:rPr>
        <w:t xml:space="preserve"> (Control), 2) linseed oil (LO), 3) sunflower oil (SO), 4) oil mixture (1:1, w/w) from linseed oil and fish oil (LOFO), 5) oil mixture (1:1, w/w) from sunflower oil and fish oil (SOFO), and 6) oil mixture (1:1:1, w/w) from linseed oil, sunflower oil, and fish oil. Addition of oil alone or mixtures in the current experiment was at 3% DM (15 mg/syringe).</w:t>
      </w:r>
    </w:p>
    <w:p w14:paraId="330D9C3B" w14:textId="77777777" w:rsidR="00E156FC" w:rsidRPr="00FC4B45" w:rsidRDefault="00E156FC" w:rsidP="00E156FC">
      <w:pPr>
        <w:spacing w:before="120" w:after="0" w:line="240" w:lineRule="auto"/>
        <w:rPr>
          <w:rFonts w:cs="Times New Roman"/>
          <w:bCs/>
          <w:sz w:val="24"/>
          <w:szCs w:val="24"/>
        </w:rPr>
      </w:pPr>
      <w:bookmarkStart w:id="4" w:name="_Toc420228169"/>
      <w:r w:rsidRPr="00FC4B45">
        <w:rPr>
          <w:rFonts w:cs="Times New Roman"/>
          <w:b/>
          <w:sz w:val="24"/>
          <w:szCs w:val="24"/>
          <w:shd w:val="clear" w:color="auto" w:fill="FFFFFF"/>
        </w:rPr>
        <w:t>Substrates, added oils, and rumen inoculum</w:t>
      </w:r>
      <w:bookmarkEnd w:id="4"/>
      <w:r w:rsidRPr="00FC4B45">
        <w:rPr>
          <w:rFonts w:cs="Times New Roman"/>
          <w:b/>
          <w:sz w:val="24"/>
          <w:szCs w:val="24"/>
          <w:shd w:val="clear" w:color="auto" w:fill="FFFFFF"/>
        </w:rPr>
        <w:t>:</w:t>
      </w:r>
      <w:r w:rsidRPr="00FC4B45">
        <w:rPr>
          <w:rFonts w:cs="Times New Roman"/>
          <w:bCs/>
          <w:sz w:val="24"/>
          <w:szCs w:val="24"/>
        </w:rPr>
        <w:t xml:space="preserve"> Corn silage and concentrate were ground in a Retsch mill to pass a 1-mm mesh prior to analyze for chemical compositions and </w:t>
      </w:r>
      <w:r w:rsidRPr="00FC4B45">
        <w:rPr>
          <w:rFonts w:cs="Times New Roman"/>
          <w:bCs/>
          <w:i/>
          <w:sz w:val="24"/>
          <w:szCs w:val="24"/>
        </w:rPr>
        <w:t>in vitro</w:t>
      </w:r>
      <w:r w:rsidRPr="00FC4B45">
        <w:rPr>
          <w:rFonts w:cs="Times New Roman"/>
          <w:bCs/>
          <w:sz w:val="24"/>
          <w:szCs w:val="24"/>
        </w:rPr>
        <w:t xml:space="preserve"> gas production measurements. The incubation substrate consisted of corn silage and concentrate were mixed at a ratio of 40:60 (w/w, on DM basis). Oils were prepared and added into incubation syringes as an oil-ethanol solution (185:15, v/w). </w:t>
      </w:r>
    </w:p>
    <w:p w14:paraId="2C2F51E3" w14:textId="77777777" w:rsidR="00E156FC" w:rsidRPr="00FC4B45" w:rsidRDefault="00E156FC" w:rsidP="00EB4BAC">
      <w:pPr>
        <w:spacing w:before="120" w:after="120" w:line="240" w:lineRule="auto"/>
        <w:ind w:left="1077" w:hanging="1077"/>
        <w:jc w:val="left"/>
        <w:rPr>
          <w:rFonts w:cs="Times New Roman"/>
          <w:bCs/>
          <w:sz w:val="24"/>
          <w:szCs w:val="24"/>
        </w:rPr>
      </w:pPr>
      <w:r w:rsidRPr="00FC4B45">
        <w:rPr>
          <w:rFonts w:cs="Times New Roman"/>
          <w:b/>
          <w:bCs/>
          <w:sz w:val="24"/>
          <w:szCs w:val="24"/>
        </w:rPr>
        <w:t>Table 1. Chemical composition (%DM) of feeds and oils used in the experiment</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1894"/>
        <w:gridCol w:w="1686"/>
        <w:gridCol w:w="1457"/>
        <w:gridCol w:w="1457"/>
        <w:gridCol w:w="1338"/>
      </w:tblGrid>
      <w:tr w:rsidR="00E156FC" w:rsidRPr="00FA5819" w14:paraId="5F4CC1D6" w14:textId="77777777" w:rsidTr="00F47F12">
        <w:tc>
          <w:tcPr>
            <w:tcW w:w="662" w:type="pct"/>
            <w:tcBorders>
              <w:bottom w:val="single" w:sz="4" w:space="0" w:color="auto"/>
            </w:tcBorders>
            <w:vAlign w:val="center"/>
          </w:tcPr>
          <w:p w14:paraId="2E652BC3" w14:textId="77777777" w:rsidR="00E156FC" w:rsidRPr="00FA5819" w:rsidRDefault="00E156FC" w:rsidP="00211503">
            <w:pPr>
              <w:spacing w:line="240" w:lineRule="auto"/>
              <w:jc w:val="center"/>
              <w:rPr>
                <w:bCs/>
                <w:sz w:val="22"/>
                <w:szCs w:val="22"/>
                <w:lang w:val="en-US"/>
              </w:rPr>
            </w:pPr>
            <w:r w:rsidRPr="00FA5819">
              <w:rPr>
                <w:bCs/>
                <w:sz w:val="22"/>
                <w:szCs w:val="22"/>
                <w:lang w:val="en-US"/>
              </w:rPr>
              <w:t>Item</w:t>
            </w:r>
          </w:p>
        </w:tc>
        <w:tc>
          <w:tcPr>
            <w:tcW w:w="1049" w:type="pct"/>
            <w:tcBorders>
              <w:bottom w:val="single" w:sz="4" w:space="0" w:color="auto"/>
            </w:tcBorders>
            <w:vAlign w:val="center"/>
          </w:tcPr>
          <w:p w14:paraId="7A4C9773" w14:textId="77777777" w:rsidR="00E156FC" w:rsidRPr="00FA5819" w:rsidRDefault="00E156FC" w:rsidP="00211503">
            <w:pPr>
              <w:spacing w:line="240" w:lineRule="auto"/>
              <w:jc w:val="center"/>
              <w:rPr>
                <w:bCs/>
                <w:sz w:val="22"/>
                <w:szCs w:val="22"/>
                <w:lang w:val="en-US"/>
              </w:rPr>
            </w:pPr>
            <w:r w:rsidRPr="00FA5819">
              <w:rPr>
                <w:bCs/>
                <w:sz w:val="22"/>
                <w:szCs w:val="22"/>
                <w:lang w:val="en-US"/>
              </w:rPr>
              <w:t>Concentrate</w:t>
            </w:r>
            <w:r w:rsidRPr="00FA5819">
              <w:rPr>
                <w:bCs/>
                <w:sz w:val="22"/>
                <w:szCs w:val="22"/>
                <w:vertAlign w:val="superscript"/>
                <w:lang w:val="en-US"/>
              </w:rPr>
              <w:t>1</w:t>
            </w:r>
          </w:p>
        </w:tc>
        <w:tc>
          <w:tcPr>
            <w:tcW w:w="934" w:type="pct"/>
            <w:tcBorders>
              <w:bottom w:val="single" w:sz="4" w:space="0" w:color="auto"/>
            </w:tcBorders>
            <w:vAlign w:val="center"/>
          </w:tcPr>
          <w:p w14:paraId="675B1F25" w14:textId="77777777" w:rsidR="00E156FC" w:rsidRPr="00FA5819" w:rsidRDefault="00E156FC" w:rsidP="00211503">
            <w:pPr>
              <w:spacing w:line="240" w:lineRule="auto"/>
              <w:jc w:val="center"/>
              <w:rPr>
                <w:bCs/>
                <w:sz w:val="22"/>
                <w:szCs w:val="22"/>
                <w:lang w:val="en-US"/>
              </w:rPr>
            </w:pPr>
            <w:r w:rsidRPr="00FA5819">
              <w:rPr>
                <w:bCs/>
                <w:sz w:val="22"/>
                <w:szCs w:val="22"/>
                <w:lang w:val="en-US"/>
              </w:rPr>
              <w:t>Corn silage</w:t>
            </w:r>
          </w:p>
        </w:tc>
        <w:tc>
          <w:tcPr>
            <w:tcW w:w="807" w:type="pct"/>
            <w:tcBorders>
              <w:bottom w:val="single" w:sz="4" w:space="0" w:color="auto"/>
            </w:tcBorders>
            <w:vAlign w:val="center"/>
          </w:tcPr>
          <w:p w14:paraId="2DC6BEC3" w14:textId="77777777" w:rsidR="00E156FC" w:rsidRPr="00FA5819" w:rsidRDefault="00E156FC" w:rsidP="00211503">
            <w:pPr>
              <w:spacing w:line="240" w:lineRule="auto"/>
              <w:jc w:val="center"/>
              <w:rPr>
                <w:bCs/>
                <w:sz w:val="22"/>
                <w:szCs w:val="22"/>
                <w:lang w:val="en-US"/>
              </w:rPr>
            </w:pPr>
            <w:r w:rsidRPr="00FA5819">
              <w:rPr>
                <w:bCs/>
                <w:sz w:val="22"/>
                <w:szCs w:val="22"/>
                <w:lang w:val="en-US"/>
              </w:rPr>
              <w:t>LO</w:t>
            </w:r>
          </w:p>
        </w:tc>
        <w:tc>
          <w:tcPr>
            <w:tcW w:w="807" w:type="pct"/>
            <w:tcBorders>
              <w:bottom w:val="single" w:sz="4" w:space="0" w:color="auto"/>
            </w:tcBorders>
            <w:vAlign w:val="center"/>
          </w:tcPr>
          <w:p w14:paraId="3C90FD08" w14:textId="77777777" w:rsidR="00E156FC" w:rsidRPr="00FA5819" w:rsidRDefault="00E156FC" w:rsidP="00211503">
            <w:pPr>
              <w:spacing w:line="240" w:lineRule="auto"/>
              <w:jc w:val="center"/>
              <w:rPr>
                <w:bCs/>
                <w:sz w:val="22"/>
                <w:szCs w:val="22"/>
                <w:lang w:val="en-US"/>
              </w:rPr>
            </w:pPr>
            <w:r w:rsidRPr="00FA5819">
              <w:rPr>
                <w:bCs/>
                <w:sz w:val="22"/>
                <w:szCs w:val="22"/>
                <w:lang w:val="en-US"/>
              </w:rPr>
              <w:t>SO</w:t>
            </w:r>
          </w:p>
        </w:tc>
        <w:tc>
          <w:tcPr>
            <w:tcW w:w="741" w:type="pct"/>
            <w:tcBorders>
              <w:bottom w:val="single" w:sz="4" w:space="0" w:color="auto"/>
            </w:tcBorders>
            <w:vAlign w:val="center"/>
          </w:tcPr>
          <w:p w14:paraId="2147EC9B" w14:textId="77777777" w:rsidR="00E156FC" w:rsidRPr="00FA5819" w:rsidRDefault="00E156FC" w:rsidP="00211503">
            <w:pPr>
              <w:spacing w:line="240" w:lineRule="auto"/>
              <w:jc w:val="center"/>
              <w:rPr>
                <w:bCs/>
                <w:sz w:val="22"/>
                <w:szCs w:val="22"/>
                <w:lang w:val="en-US"/>
              </w:rPr>
            </w:pPr>
            <w:r w:rsidRPr="00FA5819">
              <w:rPr>
                <w:bCs/>
                <w:sz w:val="22"/>
                <w:szCs w:val="22"/>
                <w:lang w:val="en-US"/>
              </w:rPr>
              <w:t>FO</w:t>
            </w:r>
          </w:p>
        </w:tc>
      </w:tr>
      <w:tr w:rsidR="00E156FC" w:rsidRPr="00FA5819" w14:paraId="07C6F637" w14:textId="77777777" w:rsidTr="00F47F12">
        <w:tc>
          <w:tcPr>
            <w:tcW w:w="662" w:type="pct"/>
          </w:tcPr>
          <w:p w14:paraId="1EB50C2E" w14:textId="77777777" w:rsidR="00E156FC" w:rsidRPr="00FA5819" w:rsidRDefault="00E156FC" w:rsidP="00211503">
            <w:pPr>
              <w:spacing w:line="240" w:lineRule="auto"/>
              <w:ind w:left="176"/>
              <w:rPr>
                <w:bCs/>
                <w:sz w:val="22"/>
                <w:szCs w:val="22"/>
                <w:lang w:val="en-US"/>
              </w:rPr>
            </w:pPr>
            <w:r w:rsidRPr="00FA5819">
              <w:rPr>
                <w:bCs/>
                <w:sz w:val="22"/>
                <w:szCs w:val="22"/>
                <w:lang w:val="en-US"/>
              </w:rPr>
              <w:t>DM</w:t>
            </w:r>
          </w:p>
        </w:tc>
        <w:tc>
          <w:tcPr>
            <w:tcW w:w="1049" w:type="pct"/>
          </w:tcPr>
          <w:p w14:paraId="22A10798" w14:textId="0220D5A0" w:rsidR="00E156FC" w:rsidRPr="00FA5819" w:rsidRDefault="00E156FC" w:rsidP="00211503">
            <w:pPr>
              <w:spacing w:line="240" w:lineRule="auto"/>
              <w:jc w:val="center"/>
              <w:rPr>
                <w:sz w:val="22"/>
                <w:szCs w:val="22"/>
              </w:rPr>
            </w:pPr>
            <w:r w:rsidRPr="00FA5819">
              <w:rPr>
                <w:sz w:val="22"/>
                <w:szCs w:val="22"/>
              </w:rPr>
              <w:t>90.2</w:t>
            </w:r>
          </w:p>
        </w:tc>
        <w:tc>
          <w:tcPr>
            <w:tcW w:w="934" w:type="pct"/>
          </w:tcPr>
          <w:p w14:paraId="16AD259E" w14:textId="503FB57C" w:rsidR="00E156FC" w:rsidRPr="00FA5819" w:rsidRDefault="00E156FC" w:rsidP="00211503">
            <w:pPr>
              <w:spacing w:line="240" w:lineRule="auto"/>
              <w:jc w:val="center"/>
              <w:rPr>
                <w:sz w:val="22"/>
                <w:szCs w:val="22"/>
              </w:rPr>
            </w:pPr>
            <w:r w:rsidRPr="00FA5819">
              <w:rPr>
                <w:sz w:val="22"/>
                <w:szCs w:val="22"/>
              </w:rPr>
              <w:t>23.</w:t>
            </w:r>
            <w:r w:rsidR="003C3D0E">
              <w:rPr>
                <w:sz w:val="22"/>
                <w:szCs w:val="22"/>
              </w:rPr>
              <w:t>8</w:t>
            </w:r>
          </w:p>
        </w:tc>
        <w:tc>
          <w:tcPr>
            <w:tcW w:w="807" w:type="pct"/>
          </w:tcPr>
          <w:p w14:paraId="0B88D83F" w14:textId="77777777" w:rsidR="00E156FC" w:rsidRPr="00FA5819" w:rsidRDefault="00E156FC" w:rsidP="00211503">
            <w:pPr>
              <w:spacing w:line="240" w:lineRule="auto"/>
              <w:jc w:val="center"/>
              <w:rPr>
                <w:sz w:val="22"/>
                <w:szCs w:val="22"/>
              </w:rPr>
            </w:pPr>
            <w:r w:rsidRPr="00FA5819">
              <w:rPr>
                <w:sz w:val="22"/>
                <w:szCs w:val="22"/>
              </w:rPr>
              <w:t>-</w:t>
            </w:r>
          </w:p>
        </w:tc>
        <w:tc>
          <w:tcPr>
            <w:tcW w:w="807" w:type="pct"/>
          </w:tcPr>
          <w:p w14:paraId="1BDCA50F" w14:textId="77777777" w:rsidR="00E156FC" w:rsidRPr="00FA5819" w:rsidRDefault="00E156FC" w:rsidP="00211503">
            <w:pPr>
              <w:spacing w:line="240" w:lineRule="auto"/>
              <w:jc w:val="center"/>
              <w:rPr>
                <w:sz w:val="22"/>
                <w:szCs w:val="22"/>
              </w:rPr>
            </w:pPr>
            <w:r w:rsidRPr="00FA5819">
              <w:rPr>
                <w:sz w:val="22"/>
                <w:szCs w:val="22"/>
              </w:rPr>
              <w:t>-</w:t>
            </w:r>
          </w:p>
        </w:tc>
        <w:tc>
          <w:tcPr>
            <w:tcW w:w="741" w:type="pct"/>
          </w:tcPr>
          <w:p w14:paraId="7AB4DE74" w14:textId="77777777" w:rsidR="00E156FC" w:rsidRPr="00FA5819" w:rsidRDefault="00E156FC" w:rsidP="00211503">
            <w:pPr>
              <w:spacing w:line="240" w:lineRule="auto"/>
              <w:jc w:val="center"/>
              <w:rPr>
                <w:sz w:val="22"/>
                <w:szCs w:val="22"/>
              </w:rPr>
            </w:pPr>
            <w:r w:rsidRPr="00FA5819">
              <w:rPr>
                <w:sz w:val="22"/>
                <w:szCs w:val="22"/>
              </w:rPr>
              <w:t>-</w:t>
            </w:r>
          </w:p>
        </w:tc>
      </w:tr>
      <w:tr w:rsidR="00E156FC" w:rsidRPr="00FA5819" w14:paraId="331A4D64" w14:textId="77777777" w:rsidTr="00F47F12">
        <w:tc>
          <w:tcPr>
            <w:tcW w:w="662" w:type="pct"/>
          </w:tcPr>
          <w:p w14:paraId="76E04902" w14:textId="77777777" w:rsidR="00E156FC" w:rsidRPr="00FA5819" w:rsidRDefault="00E156FC" w:rsidP="00211503">
            <w:pPr>
              <w:spacing w:line="240" w:lineRule="auto"/>
              <w:ind w:left="176"/>
              <w:rPr>
                <w:bCs/>
                <w:sz w:val="22"/>
                <w:szCs w:val="22"/>
                <w:lang w:val="en-US"/>
              </w:rPr>
            </w:pPr>
            <w:r w:rsidRPr="00FA5819">
              <w:rPr>
                <w:bCs/>
                <w:sz w:val="22"/>
                <w:szCs w:val="22"/>
                <w:lang w:val="en-US"/>
              </w:rPr>
              <w:t>OM</w:t>
            </w:r>
          </w:p>
        </w:tc>
        <w:tc>
          <w:tcPr>
            <w:tcW w:w="1049" w:type="pct"/>
          </w:tcPr>
          <w:p w14:paraId="155DD84D" w14:textId="191EF131" w:rsidR="00E156FC" w:rsidRPr="00FA5819" w:rsidRDefault="00E156FC" w:rsidP="00211503">
            <w:pPr>
              <w:spacing w:line="240" w:lineRule="auto"/>
              <w:jc w:val="center"/>
              <w:rPr>
                <w:sz w:val="22"/>
                <w:szCs w:val="22"/>
              </w:rPr>
            </w:pPr>
            <w:r w:rsidRPr="00FA5819">
              <w:rPr>
                <w:sz w:val="22"/>
                <w:szCs w:val="22"/>
              </w:rPr>
              <w:t>90.</w:t>
            </w:r>
            <w:r w:rsidR="003C3D0E">
              <w:rPr>
                <w:sz w:val="22"/>
                <w:szCs w:val="22"/>
              </w:rPr>
              <w:t>9</w:t>
            </w:r>
          </w:p>
        </w:tc>
        <w:tc>
          <w:tcPr>
            <w:tcW w:w="934" w:type="pct"/>
          </w:tcPr>
          <w:p w14:paraId="4C3FBE24" w14:textId="3722294B" w:rsidR="00E156FC" w:rsidRPr="00FA5819" w:rsidRDefault="00E156FC" w:rsidP="00211503">
            <w:pPr>
              <w:spacing w:line="240" w:lineRule="auto"/>
              <w:jc w:val="center"/>
              <w:rPr>
                <w:sz w:val="22"/>
                <w:szCs w:val="22"/>
              </w:rPr>
            </w:pPr>
            <w:r w:rsidRPr="00FA5819">
              <w:rPr>
                <w:sz w:val="22"/>
                <w:szCs w:val="22"/>
              </w:rPr>
              <w:t>91.1</w:t>
            </w:r>
          </w:p>
        </w:tc>
        <w:tc>
          <w:tcPr>
            <w:tcW w:w="807" w:type="pct"/>
          </w:tcPr>
          <w:p w14:paraId="446E3F73" w14:textId="77777777" w:rsidR="00E156FC" w:rsidRPr="00FA5819" w:rsidRDefault="00E156FC" w:rsidP="00211503">
            <w:pPr>
              <w:spacing w:line="240" w:lineRule="auto"/>
              <w:jc w:val="center"/>
              <w:rPr>
                <w:sz w:val="22"/>
                <w:szCs w:val="22"/>
              </w:rPr>
            </w:pPr>
            <w:r w:rsidRPr="00FA5819">
              <w:rPr>
                <w:sz w:val="22"/>
                <w:szCs w:val="22"/>
              </w:rPr>
              <w:t>-</w:t>
            </w:r>
          </w:p>
        </w:tc>
        <w:tc>
          <w:tcPr>
            <w:tcW w:w="807" w:type="pct"/>
          </w:tcPr>
          <w:p w14:paraId="5484E67C" w14:textId="77777777" w:rsidR="00E156FC" w:rsidRPr="00FA5819" w:rsidRDefault="00E156FC" w:rsidP="00211503">
            <w:pPr>
              <w:spacing w:line="240" w:lineRule="auto"/>
              <w:jc w:val="center"/>
              <w:rPr>
                <w:sz w:val="22"/>
                <w:szCs w:val="22"/>
              </w:rPr>
            </w:pPr>
            <w:r w:rsidRPr="00FA5819">
              <w:rPr>
                <w:sz w:val="22"/>
                <w:szCs w:val="22"/>
              </w:rPr>
              <w:t>-</w:t>
            </w:r>
          </w:p>
        </w:tc>
        <w:tc>
          <w:tcPr>
            <w:tcW w:w="741" w:type="pct"/>
          </w:tcPr>
          <w:p w14:paraId="098AF65F" w14:textId="77777777" w:rsidR="00E156FC" w:rsidRPr="00FA5819" w:rsidRDefault="00E156FC" w:rsidP="00211503">
            <w:pPr>
              <w:spacing w:line="240" w:lineRule="auto"/>
              <w:jc w:val="center"/>
              <w:rPr>
                <w:sz w:val="22"/>
                <w:szCs w:val="22"/>
              </w:rPr>
            </w:pPr>
            <w:r w:rsidRPr="00FA5819">
              <w:rPr>
                <w:sz w:val="22"/>
                <w:szCs w:val="22"/>
              </w:rPr>
              <w:t>-</w:t>
            </w:r>
          </w:p>
        </w:tc>
      </w:tr>
      <w:tr w:rsidR="00E156FC" w:rsidRPr="00FA5819" w14:paraId="4272A8D1" w14:textId="77777777" w:rsidTr="00F47F12">
        <w:tc>
          <w:tcPr>
            <w:tcW w:w="662" w:type="pct"/>
          </w:tcPr>
          <w:p w14:paraId="1317B59F" w14:textId="77777777" w:rsidR="00E156FC" w:rsidRPr="00FA5819" w:rsidRDefault="00E156FC" w:rsidP="00211503">
            <w:pPr>
              <w:spacing w:line="240" w:lineRule="auto"/>
              <w:ind w:left="176"/>
              <w:rPr>
                <w:bCs/>
                <w:sz w:val="22"/>
                <w:szCs w:val="22"/>
                <w:lang w:val="en-US"/>
              </w:rPr>
            </w:pPr>
            <w:r w:rsidRPr="00FA5819">
              <w:rPr>
                <w:bCs/>
                <w:sz w:val="22"/>
                <w:szCs w:val="22"/>
                <w:lang w:val="en-US"/>
              </w:rPr>
              <w:t>CP</w:t>
            </w:r>
          </w:p>
        </w:tc>
        <w:tc>
          <w:tcPr>
            <w:tcW w:w="1049" w:type="pct"/>
          </w:tcPr>
          <w:p w14:paraId="0F9F4265" w14:textId="5317B38D" w:rsidR="00E156FC" w:rsidRPr="00FA5819" w:rsidRDefault="00E156FC" w:rsidP="00211503">
            <w:pPr>
              <w:spacing w:line="240" w:lineRule="auto"/>
              <w:jc w:val="center"/>
              <w:rPr>
                <w:sz w:val="22"/>
                <w:szCs w:val="22"/>
              </w:rPr>
            </w:pPr>
            <w:r w:rsidRPr="00FA5819">
              <w:rPr>
                <w:sz w:val="22"/>
                <w:szCs w:val="22"/>
              </w:rPr>
              <w:t>21.1</w:t>
            </w:r>
          </w:p>
        </w:tc>
        <w:tc>
          <w:tcPr>
            <w:tcW w:w="934" w:type="pct"/>
          </w:tcPr>
          <w:p w14:paraId="6BC2E7EB" w14:textId="77777777" w:rsidR="00E156FC" w:rsidRPr="00FA5819" w:rsidRDefault="00E156FC" w:rsidP="00211503">
            <w:pPr>
              <w:spacing w:line="240" w:lineRule="auto"/>
              <w:jc w:val="center"/>
              <w:rPr>
                <w:sz w:val="22"/>
                <w:szCs w:val="22"/>
              </w:rPr>
            </w:pPr>
            <w:r w:rsidRPr="00FA5819">
              <w:rPr>
                <w:sz w:val="22"/>
                <w:szCs w:val="22"/>
              </w:rPr>
              <w:t>9.61</w:t>
            </w:r>
          </w:p>
        </w:tc>
        <w:tc>
          <w:tcPr>
            <w:tcW w:w="807" w:type="pct"/>
          </w:tcPr>
          <w:p w14:paraId="2F480A4C" w14:textId="77777777" w:rsidR="00E156FC" w:rsidRPr="00FA5819" w:rsidRDefault="00E156FC" w:rsidP="00211503">
            <w:pPr>
              <w:spacing w:line="240" w:lineRule="auto"/>
              <w:jc w:val="center"/>
              <w:rPr>
                <w:sz w:val="22"/>
                <w:szCs w:val="22"/>
              </w:rPr>
            </w:pPr>
            <w:r w:rsidRPr="00FA5819">
              <w:rPr>
                <w:sz w:val="22"/>
                <w:szCs w:val="22"/>
              </w:rPr>
              <w:t>-</w:t>
            </w:r>
          </w:p>
        </w:tc>
        <w:tc>
          <w:tcPr>
            <w:tcW w:w="807" w:type="pct"/>
          </w:tcPr>
          <w:p w14:paraId="79BFDD0C" w14:textId="77777777" w:rsidR="00E156FC" w:rsidRPr="00FA5819" w:rsidRDefault="00E156FC" w:rsidP="00211503">
            <w:pPr>
              <w:spacing w:line="240" w:lineRule="auto"/>
              <w:jc w:val="center"/>
              <w:rPr>
                <w:sz w:val="22"/>
                <w:szCs w:val="22"/>
              </w:rPr>
            </w:pPr>
            <w:r w:rsidRPr="00FA5819">
              <w:rPr>
                <w:sz w:val="22"/>
                <w:szCs w:val="22"/>
              </w:rPr>
              <w:t>-</w:t>
            </w:r>
          </w:p>
        </w:tc>
        <w:tc>
          <w:tcPr>
            <w:tcW w:w="741" w:type="pct"/>
          </w:tcPr>
          <w:p w14:paraId="50901496" w14:textId="77777777" w:rsidR="00E156FC" w:rsidRPr="00FA5819" w:rsidRDefault="00E156FC" w:rsidP="00211503">
            <w:pPr>
              <w:spacing w:line="240" w:lineRule="auto"/>
              <w:jc w:val="center"/>
              <w:rPr>
                <w:sz w:val="22"/>
                <w:szCs w:val="22"/>
              </w:rPr>
            </w:pPr>
            <w:r w:rsidRPr="00FA5819">
              <w:rPr>
                <w:sz w:val="22"/>
                <w:szCs w:val="22"/>
              </w:rPr>
              <w:t>-</w:t>
            </w:r>
          </w:p>
        </w:tc>
      </w:tr>
      <w:tr w:rsidR="00E156FC" w:rsidRPr="00FA5819" w14:paraId="73518275" w14:textId="77777777" w:rsidTr="00F47F12">
        <w:tc>
          <w:tcPr>
            <w:tcW w:w="662" w:type="pct"/>
          </w:tcPr>
          <w:p w14:paraId="43C32A19" w14:textId="77777777" w:rsidR="00E156FC" w:rsidRPr="00FA5819" w:rsidRDefault="00E156FC" w:rsidP="00211503">
            <w:pPr>
              <w:spacing w:line="240" w:lineRule="auto"/>
              <w:ind w:left="176"/>
              <w:rPr>
                <w:bCs/>
                <w:sz w:val="22"/>
                <w:szCs w:val="22"/>
                <w:lang w:val="en-US"/>
              </w:rPr>
            </w:pPr>
            <w:r w:rsidRPr="00FA5819">
              <w:rPr>
                <w:bCs/>
                <w:sz w:val="22"/>
                <w:szCs w:val="22"/>
                <w:lang w:val="en-US"/>
              </w:rPr>
              <w:t>EE</w:t>
            </w:r>
          </w:p>
        </w:tc>
        <w:tc>
          <w:tcPr>
            <w:tcW w:w="1049" w:type="pct"/>
          </w:tcPr>
          <w:p w14:paraId="3132E88F" w14:textId="77777777" w:rsidR="00E156FC" w:rsidRPr="00FA5819" w:rsidRDefault="00E156FC" w:rsidP="00211503">
            <w:pPr>
              <w:spacing w:line="240" w:lineRule="auto"/>
              <w:jc w:val="center"/>
              <w:rPr>
                <w:sz w:val="22"/>
                <w:szCs w:val="22"/>
              </w:rPr>
            </w:pPr>
            <w:r w:rsidRPr="00FA5819">
              <w:rPr>
                <w:sz w:val="22"/>
                <w:szCs w:val="22"/>
              </w:rPr>
              <w:t>3.77</w:t>
            </w:r>
          </w:p>
        </w:tc>
        <w:tc>
          <w:tcPr>
            <w:tcW w:w="934" w:type="pct"/>
          </w:tcPr>
          <w:p w14:paraId="091089DF" w14:textId="77777777" w:rsidR="00E156FC" w:rsidRPr="00FA5819" w:rsidRDefault="00E156FC" w:rsidP="00211503">
            <w:pPr>
              <w:spacing w:line="240" w:lineRule="auto"/>
              <w:jc w:val="center"/>
              <w:rPr>
                <w:sz w:val="22"/>
                <w:szCs w:val="22"/>
              </w:rPr>
            </w:pPr>
            <w:r w:rsidRPr="00FA5819">
              <w:rPr>
                <w:sz w:val="22"/>
                <w:szCs w:val="22"/>
              </w:rPr>
              <w:t>1.81</w:t>
            </w:r>
          </w:p>
        </w:tc>
        <w:tc>
          <w:tcPr>
            <w:tcW w:w="807" w:type="pct"/>
          </w:tcPr>
          <w:p w14:paraId="5A85F445" w14:textId="77777777" w:rsidR="00E156FC" w:rsidRPr="00FA5819" w:rsidRDefault="00E156FC" w:rsidP="00211503">
            <w:pPr>
              <w:spacing w:line="240" w:lineRule="auto"/>
              <w:jc w:val="center"/>
              <w:rPr>
                <w:sz w:val="22"/>
                <w:szCs w:val="22"/>
              </w:rPr>
            </w:pPr>
            <w:r w:rsidRPr="00FA5819">
              <w:rPr>
                <w:sz w:val="22"/>
                <w:szCs w:val="22"/>
              </w:rPr>
              <w:t>100</w:t>
            </w:r>
          </w:p>
        </w:tc>
        <w:tc>
          <w:tcPr>
            <w:tcW w:w="807" w:type="pct"/>
          </w:tcPr>
          <w:p w14:paraId="5FF8E71D" w14:textId="77777777" w:rsidR="00E156FC" w:rsidRPr="00FA5819" w:rsidRDefault="00E156FC" w:rsidP="00211503">
            <w:pPr>
              <w:spacing w:line="240" w:lineRule="auto"/>
              <w:jc w:val="center"/>
              <w:rPr>
                <w:sz w:val="22"/>
                <w:szCs w:val="22"/>
              </w:rPr>
            </w:pPr>
            <w:r w:rsidRPr="00FA5819">
              <w:rPr>
                <w:sz w:val="22"/>
                <w:szCs w:val="22"/>
              </w:rPr>
              <w:t>100</w:t>
            </w:r>
          </w:p>
        </w:tc>
        <w:tc>
          <w:tcPr>
            <w:tcW w:w="741" w:type="pct"/>
          </w:tcPr>
          <w:p w14:paraId="6AC71A86" w14:textId="77777777" w:rsidR="00E156FC" w:rsidRPr="00FA5819" w:rsidRDefault="00E156FC" w:rsidP="00211503">
            <w:pPr>
              <w:spacing w:line="240" w:lineRule="auto"/>
              <w:jc w:val="center"/>
              <w:rPr>
                <w:sz w:val="22"/>
                <w:szCs w:val="22"/>
              </w:rPr>
            </w:pPr>
            <w:r w:rsidRPr="00FA5819">
              <w:rPr>
                <w:sz w:val="22"/>
                <w:szCs w:val="22"/>
              </w:rPr>
              <w:t>100</w:t>
            </w:r>
          </w:p>
        </w:tc>
      </w:tr>
      <w:tr w:rsidR="00E156FC" w:rsidRPr="00FA5819" w14:paraId="17096464" w14:textId="77777777" w:rsidTr="00F47F12">
        <w:tc>
          <w:tcPr>
            <w:tcW w:w="662" w:type="pct"/>
          </w:tcPr>
          <w:p w14:paraId="1906C568" w14:textId="77777777" w:rsidR="00E156FC" w:rsidRPr="00FA5819" w:rsidRDefault="00E156FC" w:rsidP="00211503">
            <w:pPr>
              <w:spacing w:line="240" w:lineRule="auto"/>
              <w:ind w:left="176"/>
              <w:rPr>
                <w:bCs/>
                <w:sz w:val="22"/>
                <w:szCs w:val="22"/>
                <w:lang w:val="en-US"/>
              </w:rPr>
            </w:pPr>
            <w:r w:rsidRPr="00FA5819">
              <w:rPr>
                <w:bCs/>
                <w:sz w:val="22"/>
                <w:szCs w:val="22"/>
                <w:lang w:val="en-US"/>
              </w:rPr>
              <w:t>Ash</w:t>
            </w:r>
          </w:p>
        </w:tc>
        <w:tc>
          <w:tcPr>
            <w:tcW w:w="1049" w:type="pct"/>
          </w:tcPr>
          <w:p w14:paraId="33CFE6D9" w14:textId="77777777" w:rsidR="00E156FC" w:rsidRPr="00FA5819" w:rsidRDefault="00E156FC" w:rsidP="00211503">
            <w:pPr>
              <w:spacing w:line="240" w:lineRule="auto"/>
              <w:jc w:val="center"/>
              <w:rPr>
                <w:sz w:val="22"/>
                <w:szCs w:val="22"/>
              </w:rPr>
            </w:pPr>
            <w:r w:rsidRPr="00FA5819">
              <w:rPr>
                <w:sz w:val="22"/>
                <w:szCs w:val="22"/>
              </w:rPr>
              <w:t>9.14</w:t>
            </w:r>
          </w:p>
        </w:tc>
        <w:tc>
          <w:tcPr>
            <w:tcW w:w="934" w:type="pct"/>
          </w:tcPr>
          <w:p w14:paraId="49D7D1EC" w14:textId="77777777" w:rsidR="00E156FC" w:rsidRPr="00FA5819" w:rsidRDefault="00E156FC" w:rsidP="00211503">
            <w:pPr>
              <w:spacing w:line="240" w:lineRule="auto"/>
              <w:jc w:val="center"/>
              <w:rPr>
                <w:sz w:val="22"/>
                <w:szCs w:val="22"/>
              </w:rPr>
            </w:pPr>
            <w:r w:rsidRPr="00FA5819">
              <w:rPr>
                <w:sz w:val="22"/>
                <w:szCs w:val="22"/>
              </w:rPr>
              <w:t>8.90</w:t>
            </w:r>
          </w:p>
        </w:tc>
        <w:tc>
          <w:tcPr>
            <w:tcW w:w="807" w:type="pct"/>
          </w:tcPr>
          <w:p w14:paraId="779D2253" w14:textId="77777777" w:rsidR="00E156FC" w:rsidRPr="00FA5819" w:rsidRDefault="00E156FC" w:rsidP="00211503">
            <w:pPr>
              <w:spacing w:line="240" w:lineRule="auto"/>
              <w:jc w:val="center"/>
              <w:rPr>
                <w:sz w:val="22"/>
                <w:szCs w:val="22"/>
              </w:rPr>
            </w:pPr>
            <w:r w:rsidRPr="00FA5819">
              <w:rPr>
                <w:sz w:val="22"/>
                <w:szCs w:val="22"/>
              </w:rPr>
              <w:t>-</w:t>
            </w:r>
          </w:p>
        </w:tc>
        <w:tc>
          <w:tcPr>
            <w:tcW w:w="807" w:type="pct"/>
          </w:tcPr>
          <w:p w14:paraId="623AB0F4" w14:textId="77777777" w:rsidR="00E156FC" w:rsidRPr="00FA5819" w:rsidRDefault="00E156FC" w:rsidP="00211503">
            <w:pPr>
              <w:spacing w:line="240" w:lineRule="auto"/>
              <w:jc w:val="center"/>
              <w:rPr>
                <w:sz w:val="22"/>
                <w:szCs w:val="22"/>
              </w:rPr>
            </w:pPr>
            <w:r w:rsidRPr="00FA5819">
              <w:rPr>
                <w:sz w:val="22"/>
                <w:szCs w:val="22"/>
              </w:rPr>
              <w:t>-</w:t>
            </w:r>
          </w:p>
        </w:tc>
        <w:tc>
          <w:tcPr>
            <w:tcW w:w="741" w:type="pct"/>
          </w:tcPr>
          <w:p w14:paraId="00A36293" w14:textId="77777777" w:rsidR="00E156FC" w:rsidRPr="00FA5819" w:rsidRDefault="00E156FC" w:rsidP="00211503">
            <w:pPr>
              <w:spacing w:line="240" w:lineRule="auto"/>
              <w:jc w:val="center"/>
              <w:rPr>
                <w:sz w:val="22"/>
                <w:szCs w:val="22"/>
              </w:rPr>
            </w:pPr>
            <w:r w:rsidRPr="00FA5819">
              <w:rPr>
                <w:sz w:val="22"/>
                <w:szCs w:val="22"/>
              </w:rPr>
              <w:t>-</w:t>
            </w:r>
          </w:p>
        </w:tc>
      </w:tr>
      <w:tr w:rsidR="00E156FC" w:rsidRPr="00FA5819" w14:paraId="3013187A" w14:textId="77777777" w:rsidTr="00F47F12">
        <w:tc>
          <w:tcPr>
            <w:tcW w:w="662" w:type="pct"/>
          </w:tcPr>
          <w:p w14:paraId="5E5D12A4" w14:textId="77777777" w:rsidR="00E156FC" w:rsidRPr="00FA5819" w:rsidRDefault="00E156FC" w:rsidP="00211503">
            <w:pPr>
              <w:spacing w:line="240" w:lineRule="auto"/>
              <w:ind w:left="176"/>
              <w:rPr>
                <w:bCs/>
                <w:sz w:val="22"/>
                <w:szCs w:val="22"/>
                <w:lang w:val="en-US"/>
              </w:rPr>
            </w:pPr>
            <w:r w:rsidRPr="00FA5819">
              <w:rPr>
                <w:bCs/>
                <w:sz w:val="22"/>
                <w:szCs w:val="22"/>
                <w:lang w:val="en-US"/>
              </w:rPr>
              <w:t>NFC</w:t>
            </w:r>
            <w:r w:rsidRPr="00FA5819">
              <w:rPr>
                <w:bCs/>
                <w:sz w:val="22"/>
                <w:szCs w:val="22"/>
                <w:vertAlign w:val="superscript"/>
                <w:lang w:val="en-US"/>
              </w:rPr>
              <w:t>2</w:t>
            </w:r>
          </w:p>
        </w:tc>
        <w:tc>
          <w:tcPr>
            <w:tcW w:w="1049" w:type="pct"/>
          </w:tcPr>
          <w:p w14:paraId="33A0F967" w14:textId="6BA1B6CB" w:rsidR="00E156FC" w:rsidRPr="00FA5819" w:rsidRDefault="00E156FC" w:rsidP="00211503">
            <w:pPr>
              <w:spacing w:line="240" w:lineRule="auto"/>
              <w:jc w:val="center"/>
              <w:rPr>
                <w:sz w:val="22"/>
                <w:szCs w:val="22"/>
              </w:rPr>
            </w:pPr>
            <w:r w:rsidRPr="00FA5819">
              <w:rPr>
                <w:sz w:val="22"/>
                <w:szCs w:val="22"/>
              </w:rPr>
              <w:t>24.</w:t>
            </w:r>
            <w:r w:rsidR="003C3D0E">
              <w:rPr>
                <w:sz w:val="22"/>
                <w:szCs w:val="22"/>
              </w:rPr>
              <w:t>6</w:t>
            </w:r>
          </w:p>
        </w:tc>
        <w:tc>
          <w:tcPr>
            <w:tcW w:w="934" w:type="pct"/>
          </w:tcPr>
          <w:p w14:paraId="418CC214" w14:textId="2741AF46" w:rsidR="00E156FC" w:rsidRPr="00FA5819" w:rsidRDefault="00E156FC" w:rsidP="00211503">
            <w:pPr>
              <w:spacing w:line="240" w:lineRule="auto"/>
              <w:jc w:val="center"/>
              <w:rPr>
                <w:sz w:val="22"/>
                <w:szCs w:val="22"/>
              </w:rPr>
            </w:pPr>
            <w:r w:rsidRPr="00FA5819">
              <w:rPr>
                <w:sz w:val="22"/>
                <w:szCs w:val="22"/>
              </w:rPr>
              <w:t>14.</w:t>
            </w:r>
            <w:r w:rsidR="003C3D0E">
              <w:rPr>
                <w:sz w:val="22"/>
                <w:szCs w:val="22"/>
              </w:rPr>
              <w:t>2</w:t>
            </w:r>
          </w:p>
        </w:tc>
        <w:tc>
          <w:tcPr>
            <w:tcW w:w="807" w:type="pct"/>
          </w:tcPr>
          <w:p w14:paraId="4FFE550D" w14:textId="77777777" w:rsidR="00E156FC" w:rsidRPr="00FA5819" w:rsidRDefault="00E156FC" w:rsidP="00211503">
            <w:pPr>
              <w:spacing w:line="240" w:lineRule="auto"/>
              <w:jc w:val="center"/>
              <w:rPr>
                <w:sz w:val="22"/>
                <w:szCs w:val="22"/>
              </w:rPr>
            </w:pPr>
            <w:r w:rsidRPr="00FA5819">
              <w:rPr>
                <w:sz w:val="22"/>
                <w:szCs w:val="22"/>
              </w:rPr>
              <w:t>-</w:t>
            </w:r>
          </w:p>
        </w:tc>
        <w:tc>
          <w:tcPr>
            <w:tcW w:w="807" w:type="pct"/>
          </w:tcPr>
          <w:p w14:paraId="6B11C11E" w14:textId="77777777" w:rsidR="00E156FC" w:rsidRPr="00FA5819" w:rsidRDefault="00E156FC" w:rsidP="00211503">
            <w:pPr>
              <w:spacing w:line="240" w:lineRule="auto"/>
              <w:jc w:val="center"/>
              <w:rPr>
                <w:sz w:val="22"/>
                <w:szCs w:val="22"/>
              </w:rPr>
            </w:pPr>
            <w:r w:rsidRPr="00FA5819">
              <w:rPr>
                <w:sz w:val="22"/>
                <w:szCs w:val="22"/>
              </w:rPr>
              <w:t>-</w:t>
            </w:r>
          </w:p>
        </w:tc>
        <w:tc>
          <w:tcPr>
            <w:tcW w:w="741" w:type="pct"/>
          </w:tcPr>
          <w:p w14:paraId="232A7D3B" w14:textId="77777777" w:rsidR="00E156FC" w:rsidRPr="00FA5819" w:rsidRDefault="00E156FC" w:rsidP="00211503">
            <w:pPr>
              <w:spacing w:line="240" w:lineRule="auto"/>
              <w:jc w:val="center"/>
              <w:rPr>
                <w:sz w:val="22"/>
                <w:szCs w:val="22"/>
              </w:rPr>
            </w:pPr>
            <w:r w:rsidRPr="00FA5819">
              <w:rPr>
                <w:sz w:val="22"/>
                <w:szCs w:val="22"/>
              </w:rPr>
              <w:t>-</w:t>
            </w:r>
          </w:p>
        </w:tc>
      </w:tr>
      <w:tr w:rsidR="00E156FC" w:rsidRPr="00FA5819" w14:paraId="002A78BD" w14:textId="77777777" w:rsidTr="00F47F12">
        <w:tc>
          <w:tcPr>
            <w:tcW w:w="662" w:type="pct"/>
          </w:tcPr>
          <w:p w14:paraId="679EC434" w14:textId="77777777" w:rsidR="00E156FC" w:rsidRPr="00FA5819" w:rsidRDefault="00E156FC" w:rsidP="00211503">
            <w:pPr>
              <w:spacing w:line="240" w:lineRule="auto"/>
              <w:ind w:left="176"/>
              <w:rPr>
                <w:bCs/>
                <w:sz w:val="22"/>
                <w:szCs w:val="22"/>
                <w:lang w:val="en-US"/>
              </w:rPr>
            </w:pPr>
            <w:r w:rsidRPr="00FA5819">
              <w:rPr>
                <w:bCs/>
                <w:sz w:val="22"/>
                <w:szCs w:val="22"/>
                <w:lang w:val="en-US"/>
              </w:rPr>
              <w:t>NDF</w:t>
            </w:r>
          </w:p>
        </w:tc>
        <w:tc>
          <w:tcPr>
            <w:tcW w:w="1049" w:type="pct"/>
          </w:tcPr>
          <w:p w14:paraId="50D9EE75" w14:textId="1DEDDE22" w:rsidR="00E156FC" w:rsidRPr="00FA5819" w:rsidRDefault="00E156FC" w:rsidP="00211503">
            <w:pPr>
              <w:spacing w:line="240" w:lineRule="auto"/>
              <w:jc w:val="center"/>
              <w:rPr>
                <w:sz w:val="22"/>
                <w:szCs w:val="22"/>
              </w:rPr>
            </w:pPr>
            <w:r w:rsidRPr="00FA5819">
              <w:rPr>
                <w:sz w:val="22"/>
                <w:szCs w:val="22"/>
              </w:rPr>
              <w:t>41.4</w:t>
            </w:r>
          </w:p>
        </w:tc>
        <w:tc>
          <w:tcPr>
            <w:tcW w:w="934" w:type="pct"/>
          </w:tcPr>
          <w:p w14:paraId="539DEA1A" w14:textId="496F7FB0" w:rsidR="00E156FC" w:rsidRPr="00FA5819" w:rsidRDefault="00E156FC" w:rsidP="00211503">
            <w:pPr>
              <w:spacing w:line="240" w:lineRule="auto"/>
              <w:jc w:val="center"/>
              <w:rPr>
                <w:sz w:val="22"/>
                <w:szCs w:val="22"/>
              </w:rPr>
            </w:pPr>
            <w:r w:rsidRPr="00FA5819">
              <w:rPr>
                <w:sz w:val="22"/>
                <w:szCs w:val="22"/>
              </w:rPr>
              <w:t>65.5</w:t>
            </w:r>
          </w:p>
        </w:tc>
        <w:tc>
          <w:tcPr>
            <w:tcW w:w="807" w:type="pct"/>
          </w:tcPr>
          <w:p w14:paraId="6C2ABAFD" w14:textId="77777777" w:rsidR="00E156FC" w:rsidRPr="00FA5819" w:rsidRDefault="00E156FC" w:rsidP="00211503">
            <w:pPr>
              <w:spacing w:line="240" w:lineRule="auto"/>
              <w:jc w:val="center"/>
              <w:rPr>
                <w:sz w:val="22"/>
                <w:szCs w:val="22"/>
              </w:rPr>
            </w:pPr>
            <w:r w:rsidRPr="00FA5819">
              <w:rPr>
                <w:sz w:val="22"/>
                <w:szCs w:val="22"/>
              </w:rPr>
              <w:t>-</w:t>
            </w:r>
          </w:p>
        </w:tc>
        <w:tc>
          <w:tcPr>
            <w:tcW w:w="807" w:type="pct"/>
          </w:tcPr>
          <w:p w14:paraId="3E546A0E" w14:textId="77777777" w:rsidR="00E156FC" w:rsidRPr="00FA5819" w:rsidRDefault="00E156FC" w:rsidP="00211503">
            <w:pPr>
              <w:spacing w:line="240" w:lineRule="auto"/>
              <w:jc w:val="center"/>
              <w:rPr>
                <w:sz w:val="22"/>
                <w:szCs w:val="22"/>
              </w:rPr>
            </w:pPr>
            <w:r w:rsidRPr="00FA5819">
              <w:rPr>
                <w:sz w:val="22"/>
                <w:szCs w:val="22"/>
              </w:rPr>
              <w:t>-</w:t>
            </w:r>
          </w:p>
        </w:tc>
        <w:tc>
          <w:tcPr>
            <w:tcW w:w="741" w:type="pct"/>
          </w:tcPr>
          <w:p w14:paraId="47757586" w14:textId="77777777" w:rsidR="00E156FC" w:rsidRPr="00FA5819" w:rsidRDefault="00E156FC" w:rsidP="00211503">
            <w:pPr>
              <w:spacing w:line="240" w:lineRule="auto"/>
              <w:jc w:val="center"/>
              <w:rPr>
                <w:sz w:val="22"/>
                <w:szCs w:val="22"/>
              </w:rPr>
            </w:pPr>
            <w:r w:rsidRPr="00FA5819">
              <w:rPr>
                <w:sz w:val="22"/>
                <w:szCs w:val="22"/>
              </w:rPr>
              <w:t>-</w:t>
            </w:r>
          </w:p>
        </w:tc>
      </w:tr>
      <w:tr w:rsidR="00E156FC" w:rsidRPr="00FA5819" w14:paraId="0E7EFAB5" w14:textId="77777777" w:rsidTr="00F47F12">
        <w:tc>
          <w:tcPr>
            <w:tcW w:w="662" w:type="pct"/>
          </w:tcPr>
          <w:p w14:paraId="7866A314" w14:textId="77777777" w:rsidR="00E156FC" w:rsidRPr="00FA5819" w:rsidRDefault="00E156FC" w:rsidP="00211503">
            <w:pPr>
              <w:spacing w:line="240" w:lineRule="auto"/>
              <w:ind w:left="176"/>
              <w:rPr>
                <w:bCs/>
                <w:sz w:val="22"/>
                <w:szCs w:val="22"/>
                <w:lang w:val="en-US"/>
              </w:rPr>
            </w:pPr>
            <w:r w:rsidRPr="00FA5819">
              <w:rPr>
                <w:bCs/>
                <w:sz w:val="22"/>
                <w:szCs w:val="22"/>
                <w:lang w:val="en-US"/>
              </w:rPr>
              <w:lastRenderedPageBreak/>
              <w:t>ADF</w:t>
            </w:r>
          </w:p>
        </w:tc>
        <w:tc>
          <w:tcPr>
            <w:tcW w:w="1049" w:type="pct"/>
          </w:tcPr>
          <w:p w14:paraId="148B2DDB" w14:textId="55826BC3" w:rsidR="00E156FC" w:rsidRPr="00FA5819" w:rsidRDefault="00E156FC" w:rsidP="00211503">
            <w:pPr>
              <w:spacing w:line="240" w:lineRule="auto"/>
              <w:jc w:val="center"/>
              <w:rPr>
                <w:sz w:val="22"/>
                <w:szCs w:val="22"/>
              </w:rPr>
            </w:pPr>
            <w:r w:rsidRPr="00FA5819">
              <w:rPr>
                <w:sz w:val="22"/>
                <w:szCs w:val="22"/>
              </w:rPr>
              <w:t>28.5</w:t>
            </w:r>
          </w:p>
        </w:tc>
        <w:tc>
          <w:tcPr>
            <w:tcW w:w="934" w:type="pct"/>
          </w:tcPr>
          <w:p w14:paraId="3A6AE886" w14:textId="39D82C0A" w:rsidR="00E156FC" w:rsidRPr="00FA5819" w:rsidRDefault="00E156FC" w:rsidP="00211503">
            <w:pPr>
              <w:spacing w:line="240" w:lineRule="auto"/>
              <w:jc w:val="center"/>
              <w:rPr>
                <w:sz w:val="22"/>
                <w:szCs w:val="22"/>
              </w:rPr>
            </w:pPr>
            <w:r w:rsidRPr="00FA5819">
              <w:rPr>
                <w:sz w:val="22"/>
                <w:szCs w:val="22"/>
              </w:rPr>
              <w:t>42.</w:t>
            </w:r>
            <w:r w:rsidR="003C3D0E">
              <w:rPr>
                <w:sz w:val="22"/>
                <w:szCs w:val="22"/>
              </w:rPr>
              <w:t>1</w:t>
            </w:r>
          </w:p>
        </w:tc>
        <w:tc>
          <w:tcPr>
            <w:tcW w:w="807" w:type="pct"/>
          </w:tcPr>
          <w:p w14:paraId="32673ED6" w14:textId="77777777" w:rsidR="00E156FC" w:rsidRPr="00FA5819" w:rsidRDefault="00E156FC" w:rsidP="00211503">
            <w:pPr>
              <w:spacing w:line="240" w:lineRule="auto"/>
              <w:jc w:val="center"/>
              <w:rPr>
                <w:sz w:val="22"/>
                <w:szCs w:val="22"/>
              </w:rPr>
            </w:pPr>
            <w:r w:rsidRPr="00FA5819">
              <w:rPr>
                <w:sz w:val="22"/>
                <w:szCs w:val="22"/>
              </w:rPr>
              <w:t>-</w:t>
            </w:r>
          </w:p>
        </w:tc>
        <w:tc>
          <w:tcPr>
            <w:tcW w:w="807" w:type="pct"/>
          </w:tcPr>
          <w:p w14:paraId="3DE26FA2" w14:textId="77777777" w:rsidR="00E156FC" w:rsidRPr="00FA5819" w:rsidRDefault="00E156FC" w:rsidP="00211503">
            <w:pPr>
              <w:spacing w:line="240" w:lineRule="auto"/>
              <w:jc w:val="center"/>
              <w:rPr>
                <w:sz w:val="22"/>
                <w:szCs w:val="22"/>
              </w:rPr>
            </w:pPr>
            <w:r w:rsidRPr="00FA5819">
              <w:rPr>
                <w:sz w:val="22"/>
                <w:szCs w:val="22"/>
              </w:rPr>
              <w:t>-</w:t>
            </w:r>
          </w:p>
        </w:tc>
        <w:tc>
          <w:tcPr>
            <w:tcW w:w="741" w:type="pct"/>
          </w:tcPr>
          <w:p w14:paraId="32E1762A" w14:textId="77777777" w:rsidR="00E156FC" w:rsidRPr="00FA5819" w:rsidRDefault="00E156FC" w:rsidP="00211503">
            <w:pPr>
              <w:spacing w:line="240" w:lineRule="auto"/>
              <w:jc w:val="center"/>
              <w:rPr>
                <w:sz w:val="22"/>
                <w:szCs w:val="22"/>
              </w:rPr>
            </w:pPr>
            <w:r w:rsidRPr="00FA5819">
              <w:rPr>
                <w:sz w:val="22"/>
                <w:szCs w:val="22"/>
              </w:rPr>
              <w:t>-</w:t>
            </w:r>
          </w:p>
        </w:tc>
      </w:tr>
      <w:tr w:rsidR="00E156FC" w:rsidRPr="00FA5819" w14:paraId="72FA3DCF" w14:textId="77777777" w:rsidTr="00F47F12">
        <w:tc>
          <w:tcPr>
            <w:tcW w:w="662" w:type="pct"/>
          </w:tcPr>
          <w:p w14:paraId="3864B63D" w14:textId="77777777" w:rsidR="00E156FC" w:rsidRPr="00FA5819" w:rsidRDefault="00E156FC" w:rsidP="00211503">
            <w:pPr>
              <w:spacing w:line="240" w:lineRule="auto"/>
              <w:ind w:left="176"/>
              <w:rPr>
                <w:bCs/>
                <w:sz w:val="22"/>
                <w:szCs w:val="22"/>
                <w:lang w:val="en-US"/>
              </w:rPr>
            </w:pPr>
            <w:r w:rsidRPr="00FA5819">
              <w:rPr>
                <w:bCs/>
                <w:sz w:val="22"/>
                <w:szCs w:val="22"/>
                <w:lang w:val="en-US"/>
              </w:rPr>
              <w:t>Lignin</w:t>
            </w:r>
          </w:p>
        </w:tc>
        <w:tc>
          <w:tcPr>
            <w:tcW w:w="1049" w:type="pct"/>
          </w:tcPr>
          <w:p w14:paraId="0AB01CC1" w14:textId="77777777" w:rsidR="00E156FC" w:rsidRPr="00FA5819" w:rsidRDefault="00E156FC" w:rsidP="00211503">
            <w:pPr>
              <w:spacing w:line="240" w:lineRule="auto"/>
              <w:jc w:val="center"/>
              <w:rPr>
                <w:sz w:val="22"/>
                <w:szCs w:val="22"/>
              </w:rPr>
            </w:pPr>
            <w:r w:rsidRPr="00FA5819">
              <w:rPr>
                <w:sz w:val="22"/>
                <w:szCs w:val="22"/>
              </w:rPr>
              <w:t>3.61</w:t>
            </w:r>
          </w:p>
        </w:tc>
        <w:tc>
          <w:tcPr>
            <w:tcW w:w="934" w:type="pct"/>
          </w:tcPr>
          <w:p w14:paraId="214BBC61" w14:textId="77777777" w:rsidR="00E156FC" w:rsidRPr="00FA5819" w:rsidRDefault="00E156FC" w:rsidP="00211503">
            <w:pPr>
              <w:spacing w:line="240" w:lineRule="auto"/>
              <w:jc w:val="center"/>
              <w:rPr>
                <w:sz w:val="22"/>
                <w:szCs w:val="22"/>
              </w:rPr>
            </w:pPr>
            <w:r w:rsidRPr="00FA5819">
              <w:rPr>
                <w:sz w:val="22"/>
                <w:szCs w:val="22"/>
              </w:rPr>
              <w:t>4.44</w:t>
            </w:r>
          </w:p>
        </w:tc>
        <w:tc>
          <w:tcPr>
            <w:tcW w:w="807" w:type="pct"/>
          </w:tcPr>
          <w:p w14:paraId="7186ABC7" w14:textId="77777777" w:rsidR="00E156FC" w:rsidRPr="00FA5819" w:rsidRDefault="00E156FC" w:rsidP="00211503">
            <w:pPr>
              <w:spacing w:line="240" w:lineRule="auto"/>
              <w:jc w:val="center"/>
              <w:rPr>
                <w:sz w:val="22"/>
                <w:szCs w:val="22"/>
              </w:rPr>
            </w:pPr>
            <w:r w:rsidRPr="00FA5819">
              <w:rPr>
                <w:sz w:val="22"/>
                <w:szCs w:val="22"/>
              </w:rPr>
              <w:t>-</w:t>
            </w:r>
          </w:p>
        </w:tc>
        <w:tc>
          <w:tcPr>
            <w:tcW w:w="807" w:type="pct"/>
          </w:tcPr>
          <w:p w14:paraId="5678E9A0" w14:textId="77777777" w:rsidR="00E156FC" w:rsidRPr="00FA5819" w:rsidRDefault="00E156FC" w:rsidP="00211503">
            <w:pPr>
              <w:spacing w:line="240" w:lineRule="auto"/>
              <w:jc w:val="center"/>
              <w:rPr>
                <w:sz w:val="22"/>
                <w:szCs w:val="22"/>
              </w:rPr>
            </w:pPr>
            <w:r w:rsidRPr="00FA5819">
              <w:rPr>
                <w:sz w:val="22"/>
                <w:szCs w:val="22"/>
              </w:rPr>
              <w:t>-</w:t>
            </w:r>
          </w:p>
        </w:tc>
        <w:tc>
          <w:tcPr>
            <w:tcW w:w="741" w:type="pct"/>
          </w:tcPr>
          <w:p w14:paraId="77A79489" w14:textId="77777777" w:rsidR="00E156FC" w:rsidRPr="00FA5819" w:rsidRDefault="00E156FC" w:rsidP="00211503">
            <w:pPr>
              <w:spacing w:line="240" w:lineRule="auto"/>
              <w:jc w:val="center"/>
              <w:rPr>
                <w:sz w:val="22"/>
                <w:szCs w:val="22"/>
              </w:rPr>
            </w:pPr>
            <w:r w:rsidRPr="00FA5819">
              <w:rPr>
                <w:sz w:val="22"/>
                <w:szCs w:val="22"/>
              </w:rPr>
              <w:t>-</w:t>
            </w:r>
          </w:p>
        </w:tc>
      </w:tr>
    </w:tbl>
    <w:p w14:paraId="052219BA" w14:textId="77777777" w:rsidR="00E156FC" w:rsidRPr="00FC4B45" w:rsidRDefault="00E156FC" w:rsidP="00E156FC">
      <w:pPr>
        <w:spacing w:after="0" w:line="240" w:lineRule="auto"/>
        <w:rPr>
          <w:rFonts w:cs="Times New Roman"/>
          <w:sz w:val="20"/>
          <w:szCs w:val="20"/>
        </w:rPr>
      </w:pPr>
      <w:r w:rsidRPr="00FC4B45">
        <w:rPr>
          <w:rFonts w:cs="Times New Roman"/>
          <w:sz w:val="20"/>
          <w:szCs w:val="20"/>
          <w:vertAlign w:val="superscript"/>
        </w:rPr>
        <w:t>1</w:t>
      </w:r>
      <w:r w:rsidRPr="00FC4B45">
        <w:rPr>
          <w:rFonts w:cs="Times New Roman"/>
          <w:sz w:val="20"/>
          <w:szCs w:val="20"/>
        </w:rPr>
        <w:t xml:space="preserve"> Ingredients of concentrate included (% DM): 32% cassava distillers dried meal, 20% soybean meal, 17.5% CDDGS, 10% rice bran, 10% wheat bran, 8% molasses and 2.5% </w:t>
      </w:r>
      <w:r w:rsidRPr="00FC4B45">
        <w:rPr>
          <w:rFonts w:cs="Times New Roman"/>
          <w:bCs/>
          <w:sz w:val="20"/>
          <w:szCs w:val="20"/>
        </w:rPr>
        <w:t xml:space="preserve">Mineral and vitamin mix. </w:t>
      </w:r>
      <w:r w:rsidRPr="00FC4B45">
        <w:rPr>
          <w:rFonts w:cs="Times New Roman"/>
          <w:sz w:val="20"/>
          <w:szCs w:val="20"/>
          <w:vertAlign w:val="superscript"/>
        </w:rPr>
        <w:t>2</w:t>
      </w:r>
      <w:r w:rsidRPr="00FC4B45">
        <w:rPr>
          <w:rFonts w:cs="Times New Roman"/>
          <w:sz w:val="20"/>
          <w:szCs w:val="20"/>
        </w:rPr>
        <w:t xml:space="preserve"> Calculated as 100 − (CP + NDF + EE + ash).</w:t>
      </w:r>
    </w:p>
    <w:p w14:paraId="08419ADD" w14:textId="77777777" w:rsidR="00E156FC" w:rsidRPr="00FC4B45" w:rsidRDefault="00E156FC" w:rsidP="00E156FC">
      <w:pPr>
        <w:spacing w:before="120" w:after="0" w:line="240" w:lineRule="auto"/>
        <w:rPr>
          <w:rFonts w:cs="Times New Roman"/>
          <w:bCs/>
          <w:sz w:val="24"/>
          <w:szCs w:val="24"/>
        </w:rPr>
      </w:pPr>
      <w:r w:rsidRPr="00FC4B45">
        <w:rPr>
          <w:rFonts w:cs="Times New Roman"/>
          <w:bCs/>
          <w:sz w:val="24"/>
          <w:szCs w:val="24"/>
        </w:rPr>
        <w:t xml:space="preserve">Rumen contents were obtained before the morning feeding from three fistulated non-lactating Holstein Friesian dairy cows (approximately 500 kg) fed a maintenance diet based on corn silage and 21% CP concentrate (R:C 70:30, w/w on DM basis). The animals were fed twice daily at 08:30 and 17:00 for 1-week period before taking the rumen contents. Approximately 1,000 ml of rumen liquor obtaining from donor cows were transported in three thermos flasks to the </w:t>
      </w:r>
      <w:r w:rsidRPr="00FC4B45">
        <w:rPr>
          <w:rFonts w:cs="Times New Roman"/>
          <w:bCs/>
          <w:i/>
          <w:sz w:val="24"/>
          <w:szCs w:val="24"/>
        </w:rPr>
        <w:t>in vitro</w:t>
      </w:r>
      <w:r w:rsidRPr="00FC4B45">
        <w:rPr>
          <w:rFonts w:cs="Times New Roman"/>
          <w:bCs/>
          <w:sz w:val="24"/>
          <w:szCs w:val="24"/>
        </w:rPr>
        <w:t xml:space="preserve"> laboratory. The rumen fluid was filtered through 2 layers of cheesecloth into pre-warmed thermos flasks to retain small particles.</w:t>
      </w:r>
    </w:p>
    <w:p w14:paraId="57DEBCCB" w14:textId="77777777" w:rsidR="00E156FC" w:rsidRPr="00FC4B45" w:rsidRDefault="00E156FC" w:rsidP="00E156FC">
      <w:pPr>
        <w:spacing w:before="120" w:after="0" w:line="240" w:lineRule="auto"/>
        <w:rPr>
          <w:rFonts w:cs="Times New Roman"/>
          <w:bCs/>
          <w:sz w:val="24"/>
          <w:szCs w:val="24"/>
        </w:rPr>
      </w:pPr>
      <w:bookmarkStart w:id="5" w:name="_Toc420228171"/>
      <w:r w:rsidRPr="00FC4B45">
        <w:rPr>
          <w:rFonts w:cs="Times New Roman"/>
          <w:b/>
          <w:sz w:val="24"/>
          <w:szCs w:val="24"/>
          <w:shd w:val="clear" w:color="auto" w:fill="FFFFFF"/>
        </w:rPr>
        <w:t>In vitro fermentation</w:t>
      </w:r>
      <w:bookmarkEnd w:id="5"/>
      <w:r w:rsidRPr="00FC4B45">
        <w:rPr>
          <w:rFonts w:cs="Times New Roman"/>
          <w:b/>
          <w:sz w:val="24"/>
          <w:szCs w:val="24"/>
          <w:shd w:val="clear" w:color="auto" w:fill="FFFFFF"/>
        </w:rPr>
        <w:t>:</w:t>
      </w:r>
      <w:r w:rsidRPr="00FC4B45">
        <w:rPr>
          <w:rFonts w:cs="Times New Roman"/>
          <w:bCs/>
          <w:sz w:val="24"/>
          <w:szCs w:val="24"/>
        </w:rPr>
        <w:t xml:space="preserve"> Medium solution was prepared according to </w:t>
      </w:r>
      <w:r w:rsidRPr="00FC4B45">
        <w:rPr>
          <w:rFonts w:cs="Times New Roman"/>
          <w:bCs/>
          <w:noProof/>
          <w:sz w:val="24"/>
          <w:szCs w:val="24"/>
        </w:rPr>
        <w:t>Menke and Steingass (1988)</w:t>
      </w:r>
      <w:r w:rsidRPr="00FC4B45">
        <w:rPr>
          <w:rFonts w:cs="Times New Roman"/>
          <w:bCs/>
          <w:sz w:val="24"/>
          <w:szCs w:val="24"/>
        </w:rPr>
        <w:t xml:space="preserve"> with some minor modifications. Substrates were weighed to 500 mg of DM into 100-ml glass syringes then supplemented with 200 µl of oil-ethanol solutions which providing 15 mg of added oil/syringe. Three blank syringes for gas production were added 200 µl of absolute ethanol (99.99%) without oil supplementation and substrate. </w:t>
      </w:r>
      <w:r w:rsidRPr="00FC4B45">
        <w:rPr>
          <w:rFonts w:cs="Times New Roman"/>
          <w:sz w:val="24"/>
          <w:szCs w:val="24"/>
        </w:rPr>
        <w:t>Under continuous CO</w:t>
      </w:r>
      <w:r w:rsidRPr="00FC4B45">
        <w:rPr>
          <w:rFonts w:cs="Times New Roman"/>
          <w:sz w:val="24"/>
          <w:szCs w:val="24"/>
          <w:vertAlign w:val="subscript"/>
        </w:rPr>
        <w:t>2</w:t>
      </w:r>
      <w:r w:rsidRPr="00FC4B45">
        <w:rPr>
          <w:rFonts w:cs="Times New Roman"/>
          <w:sz w:val="24"/>
          <w:szCs w:val="24"/>
        </w:rPr>
        <w:t xml:space="preserve"> flushing, the filtrated rumen fluid was </w:t>
      </w:r>
      <w:r w:rsidRPr="00FC4B45">
        <w:rPr>
          <w:rFonts w:cs="Times New Roman"/>
          <w:bCs/>
          <w:sz w:val="24"/>
          <w:szCs w:val="24"/>
        </w:rPr>
        <w:t>mixed (1:4, v/v) with pre-warmed medium and then introduced (50 ml of rumen fluid and medium mixture) into gastight glass syringes. The lower end of syringes was closed afterward, and the syringes were incubated in a water bath at 39°C for 48 h. Gas volume produced was recorded at 2, 4, 6, 8, 10, 12, 18, 24, 36, and 48 h incubation.</w:t>
      </w:r>
    </w:p>
    <w:p w14:paraId="16FD8D8B" w14:textId="77777777" w:rsidR="00E156FC" w:rsidRPr="00FC4B45" w:rsidRDefault="00E156FC" w:rsidP="00E156FC">
      <w:pPr>
        <w:spacing w:before="120" w:after="0" w:line="240" w:lineRule="auto"/>
        <w:rPr>
          <w:rFonts w:cs="Times New Roman"/>
          <w:bCs/>
          <w:sz w:val="24"/>
          <w:szCs w:val="24"/>
        </w:rPr>
      </w:pPr>
      <w:bookmarkStart w:id="6" w:name="_Ref415135731"/>
      <w:bookmarkStart w:id="7" w:name="_Toc420228172"/>
      <w:r w:rsidRPr="00FC4B45">
        <w:rPr>
          <w:rFonts w:cs="Times New Roman"/>
          <w:b/>
          <w:sz w:val="24"/>
          <w:szCs w:val="24"/>
          <w:shd w:val="clear" w:color="auto" w:fill="FFFFFF"/>
        </w:rPr>
        <w:t>Sampling, measurements, and chemical analysis</w:t>
      </w:r>
      <w:bookmarkEnd w:id="6"/>
      <w:bookmarkEnd w:id="7"/>
      <w:r w:rsidRPr="00FC4B45">
        <w:rPr>
          <w:rFonts w:cs="Times New Roman"/>
          <w:b/>
          <w:sz w:val="24"/>
          <w:szCs w:val="24"/>
          <w:shd w:val="clear" w:color="auto" w:fill="FFFFFF"/>
        </w:rPr>
        <w:t>:</w:t>
      </w:r>
      <w:r w:rsidRPr="00FC4B45">
        <w:rPr>
          <w:rFonts w:cs="Times New Roman"/>
          <w:bCs/>
          <w:sz w:val="24"/>
          <w:szCs w:val="24"/>
        </w:rPr>
        <w:t xml:space="preserve"> Rumen fluid was collected at 0, 2, 4, 6, and 24 h post incubation. pH of syringe contents was immediately measured. One milliliter of rumen content was sampled and mixed with 9 ml of 10% formalin solution. Total protozoa were directly counted using hemocytometer following the methods of </w:t>
      </w:r>
      <w:r w:rsidRPr="00FC4B45">
        <w:rPr>
          <w:rFonts w:cs="Times New Roman"/>
          <w:bCs/>
          <w:noProof/>
          <w:sz w:val="24"/>
          <w:szCs w:val="24"/>
        </w:rPr>
        <w:t>Galyen (2010)</w:t>
      </w:r>
      <w:r w:rsidRPr="00FC4B45">
        <w:rPr>
          <w:rFonts w:cs="Times New Roman"/>
          <w:bCs/>
          <w:sz w:val="24"/>
          <w:szCs w:val="24"/>
        </w:rPr>
        <w:t>. The samples for NH</w:t>
      </w:r>
      <w:r w:rsidRPr="00FC4B45">
        <w:rPr>
          <w:rFonts w:cs="Times New Roman"/>
          <w:bCs/>
          <w:sz w:val="24"/>
          <w:szCs w:val="24"/>
          <w:vertAlign w:val="subscript"/>
        </w:rPr>
        <w:t>3</w:t>
      </w:r>
      <w:r w:rsidRPr="00FC4B45">
        <w:rPr>
          <w:rFonts w:cs="Times New Roman"/>
          <w:bCs/>
          <w:sz w:val="24"/>
          <w:szCs w:val="24"/>
        </w:rPr>
        <w:t xml:space="preserve">–N and volatile fatty acids (VFA) analyses were acidified with 1 M sulfuric acid (10/1, v/v), centrifuged at 14,000×g for 15 min, and the supernatant was then stored at – 20°C. At 48 h post inoculation, some syringe samples were stopped to determine </w:t>
      </w:r>
      <w:r w:rsidRPr="00FC4B45">
        <w:rPr>
          <w:rFonts w:cs="Times New Roman"/>
          <w:bCs/>
          <w:i/>
          <w:sz w:val="24"/>
          <w:szCs w:val="24"/>
        </w:rPr>
        <w:t>in vitro</w:t>
      </w:r>
      <w:r w:rsidRPr="00FC4B45">
        <w:rPr>
          <w:rFonts w:cs="Times New Roman"/>
          <w:bCs/>
          <w:sz w:val="24"/>
          <w:szCs w:val="24"/>
        </w:rPr>
        <w:t xml:space="preserve"> true digestibility (IVTD) following the method described by </w:t>
      </w:r>
      <w:r w:rsidRPr="00FC4B45">
        <w:rPr>
          <w:rFonts w:cs="Times New Roman"/>
          <w:bCs/>
          <w:noProof/>
          <w:sz w:val="24"/>
          <w:szCs w:val="24"/>
        </w:rPr>
        <w:t>Van Soest &amp; Robertson (1985)</w:t>
      </w:r>
      <w:r w:rsidRPr="00FC4B45">
        <w:rPr>
          <w:rFonts w:cs="Times New Roman"/>
          <w:bCs/>
          <w:sz w:val="24"/>
          <w:szCs w:val="24"/>
        </w:rPr>
        <w:t xml:space="preserve">. Chemical composition including DM, organic matter (OM), crude protein (CP), ether extract (EE) and Ash were determined following the standard methods of </w:t>
      </w:r>
      <w:r w:rsidRPr="00FC4B45">
        <w:rPr>
          <w:rFonts w:cs="Times New Roman"/>
          <w:bCs/>
          <w:noProof/>
          <w:sz w:val="24"/>
          <w:szCs w:val="24"/>
        </w:rPr>
        <w:t>AOAC (1998)</w:t>
      </w:r>
      <w:r w:rsidRPr="00FC4B45">
        <w:rPr>
          <w:rFonts w:cs="Times New Roman"/>
          <w:bCs/>
          <w:sz w:val="24"/>
          <w:szCs w:val="24"/>
        </w:rPr>
        <w:t xml:space="preserve">. Acid detergent fiber (ADF) and NDF were determined using the methods described by </w:t>
      </w:r>
      <w:r w:rsidRPr="00FC4B45">
        <w:rPr>
          <w:rFonts w:cs="Times New Roman"/>
          <w:bCs/>
          <w:noProof/>
          <w:sz w:val="24"/>
          <w:szCs w:val="24"/>
        </w:rPr>
        <w:t>Van Soest et al. (1991)</w:t>
      </w:r>
      <w:r w:rsidRPr="00FC4B45">
        <w:rPr>
          <w:rFonts w:cs="Times New Roman"/>
          <w:bCs/>
          <w:sz w:val="24"/>
          <w:szCs w:val="24"/>
        </w:rPr>
        <w:t>. The rumen NH</w:t>
      </w:r>
      <w:r w:rsidRPr="00FC4B45">
        <w:rPr>
          <w:rFonts w:cs="Times New Roman"/>
          <w:bCs/>
          <w:sz w:val="24"/>
          <w:szCs w:val="24"/>
          <w:vertAlign w:val="subscript"/>
        </w:rPr>
        <w:t>3</w:t>
      </w:r>
      <w:r w:rsidRPr="00FC4B45">
        <w:rPr>
          <w:rFonts w:cs="Times New Roman"/>
          <w:bCs/>
          <w:sz w:val="24"/>
          <w:szCs w:val="24"/>
        </w:rPr>
        <w:t xml:space="preserve">–N was determined by Kjeldahl method </w:t>
      </w:r>
      <w:r w:rsidRPr="00FC4B45">
        <w:rPr>
          <w:rFonts w:cs="Times New Roman"/>
          <w:bCs/>
          <w:noProof/>
          <w:sz w:val="24"/>
          <w:szCs w:val="24"/>
        </w:rPr>
        <w:t>(AOAC, 1998)</w:t>
      </w:r>
      <w:r w:rsidRPr="00FC4B45">
        <w:rPr>
          <w:rFonts w:cs="Times New Roman"/>
          <w:bCs/>
          <w:sz w:val="24"/>
          <w:szCs w:val="24"/>
        </w:rPr>
        <w:t>. The (VFA) were analyzed using gas chromatography.</w:t>
      </w:r>
    </w:p>
    <w:p w14:paraId="182BC026" w14:textId="77777777" w:rsidR="00E156FC" w:rsidRPr="00FC4B45" w:rsidRDefault="00E156FC" w:rsidP="00E156FC">
      <w:pPr>
        <w:spacing w:before="120" w:after="0" w:line="240" w:lineRule="auto"/>
        <w:rPr>
          <w:rFonts w:cs="Times New Roman"/>
          <w:bCs/>
          <w:sz w:val="24"/>
          <w:szCs w:val="24"/>
        </w:rPr>
      </w:pPr>
      <w:bookmarkStart w:id="8" w:name="_Toc420228173"/>
      <w:r w:rsidRPr="00FC4B45">
        <w:rPr>
          <w:rFonts w:cs="Times New Roman"/>
          <w:b/>
          <w:sz w:val="24"/>
          <w:szCs w:val="24"/>
          <w:shd w:val="clear" w:color="auto" w:fill="FFFFFF"/>
        </w:rPr>
        <w:t>Calculations</w:t>
      </w:r>
      <w:bookmarkEnd w:id="8"/>
      <w:r w:rsidRPr="00FC4B45">
        <w:rPr>
          <w:rFonts w:cs="Times New Roman"/>
          <w:b/>
          <w:sz w:val="24"/>
          <w:szCs w:val="24"/>
          <w:shd w:val="clear" w:color="auto" w:fill="FFFFFF"/>
        </w:rPr>
        <w:t>:</w:t>
      </w:r>
      <w:r w:rsidRPr="00FC4B45">
        <w:rPr>
          <w:rFonts w:cs="Times New Roman"/>
          <w:bCs/>
          <w:sz w:val="24"/>
          <w:szCs w:val="24"/>
        </w:rPr>
        <w:t xml:space="preserve"> Methane concentration was calculated from individual net molar of VFA with the equation proposed by </w:t>
      </w:r>
      <w:r w:rsidRPr="00FC4B45">
        <w:rPr>
          <w:rFonts w:cs="Times New Roman"/>
          <w:bCs/>
          <w:noProof/>
          <w:sz w:val="24"/>
          <w:szCs w:val="24"/>
        </w:rPr>
        <w:t>Fievez et al. (2005)</w:t>
      </w:r>
      <w:r w:rsidRPr="00FC4B45">
        <w:rPr>
          <w:rFonts w:cs="Times New Roman"/>
          <w:bCs/>
          <w:sz w:val="24"/>
          <w:szCs w:val="24"/>
        </w:rPr>
        <w:t xml:space="preserve"> as follow: CH</w:t>
      </w:r>
      <w:r w:rsidRPr="00FC4B45">
        <w:rPr>
          <w:rFonts w:cs="Times New Roman"/>
          <w:bCs/>
          <w:sz w:val="24"/>
          <w:szCs w:val="24"/>
          <w:vertAlign w:val="subscript"/>
        </w:rPr>
        <w:t>4</w:t>
      </w:r>
      <w:r w:rsidRPr="00FC4B45">
        <w:rPr>
          <w:rFonts w:cs="Times New Roman"/>
          <w:bCs/>
          <w:sz w:val="24"/>
          <w:szCs w:val="24"/>
        </w:rPr>
        <w:t xml:space="preserve"> (mmol) = 0.5 × acetate – 0.25 × propionate + 0.5 × butyrate. IVTD (%) = 100 × (DM of feed used for incubation – NDF residue)/DM of feed used for incubation. IVDNFD (%) = 100 × (NDF of feed used for incubation – NDF residue)/NDF of feed used for incubation. The </w:t>
      </w:r>
      <w:r w:rsidRPr="00FC4B45">
        <w:rPr>
          <w:rFonts w:cs="Times New Roman"/>
          <w:bCs/>
          <w:i/>
          <w:sz w:val="24"/>
          <w:szCs w:val="24"/>
        </w:rPr>
        <w:t>in vitro</w:t>
      </w:r>
      <w:r w:rsidRPr="00FC4B45">
        <w:rPr>
          <w:rFonts w:cs="Times New Roman"/>
          <w:bCs/>
          <w:sz w:val="24"/>
          <w:szCs w:val="24"/>
        </w:rPr>
        <w:t xml:space="preserve"> digestible organic matter (IVDOM) was calculated from the gas produced and chemical composition according to equation of </w:t>
      </w:r>
      <w:r w:rsidRPr="00FC4B45">
        <w:rPr>
          <w:rFonts w:cs="Times New Roman"/>
          <w:bCs/>
          <w:noProof/>
          <w:sz w:val="24"/>
          <w:szCs w:val="24"/>
        </w:rPr>
        <w:t>Menke et al. (1979)</w:t>
      </w:r>
      <w:r w:rsidRPr="00FC4B45">
        <w:rPr>
          <w:rFonts w:cs="Times New Roman"/>
          <w:bCs/>
          <w:sz w:val="24"/>
          <w:szCs w:val="24"/>
        </w:rPr>
        <w:t>: IVDOM (g/kg DM) = (14.88 + 0.889 × G</w:t>
      </w:r>
      <w:r w:rsidRPr="00FC4B45">
        <w:rPr>
          <w:rFonts w:cs="Times New Roman"/>
          <w:bCs/>
          <w:sz w:val="24"/>
          <w:szCs w:val="24"/>
          <w:vertAlign w:val="subscript"/>
        </w:rPr>
        <w:t>p</w:t>
      </w:r>
      <w:r w:rsidRPr="00FC4B45">
        <w:rPr>
          <w:rFonts w:cs="Times New Roman"/>
          <w:bCs/>
          <w:sz w:val="24"/>
          <w:szCs w:val="24"/>
        </w:rPr>
        <w:t xml:space="preserve"> + 0.45 × CP + 0.0651 × XA) × 10, where CP is the crude protein (% of DM), XA is the ash (% of DM), and G</w:t>
      </w:r>
      <w:r w:rsidRPr="00FC4B45">
        <w:rPr>
          <w:rFonts w:cs="Times New Roman"/>
          <w:bCs/>
          <w:sz w:val="24"/>
          <w:szCs w:val="24"/>
          <w:vertAlign w:val="subscript"/>
        </w:rPr>
        <w:t>p</w:t>
      </w:r>
      <w:r w:rsidRPr="00FC4B45">
        <w:rPr>
          <w:rFonts w:cs="Times New Roman"/>
          <w:bCs/>
          <w:sz w:val="24"/>
          <w:szCs w:val="24"/>
        </w:rPr>
        <w:t xml:space="preserve"> is the net gas production (ml) from 200 mg (DM of sample) after 24 h incubation. Microbial protein production (MP) was calculated as 19.3 g microbial N per kg IVDOM according to </w:t>
      </w:r>
      <w:r w:rsidRPr="00FC4B45">
        <w:rPr>
          <w:rFonts w:cs="Times New Roman"/>
          <w:bCs/>
          <w:noProof/>
          <w:sz w:val="24"/>
          <w:szCs w:val="24"/>
        </w:rPr>
        <w:t>Czerkawski (1986)</w:t>
      </w:r>
      <w:r w:rsidRPr="00FC4B45">
        <w:rPr>
          <w:rFonts w:cs="Times New Roman"/>
          <w:bCs/>
          <w:sz w:val="24"/>
          <w:szCs w:val="24"/>
        </w:rPr>
        <w:t>.</w:t>
      </w:r>
    </w:p>
    <w:p w14:paraId="6177438D" w14:textId="77777777" w:rsidR="00E156FC" w:rsidRPr="00FC4B45" w:rsidRDefault="00E156FC" w:rsidP="00E156FC">
      <w:pPr>
        <w:spacing w:before="120" w:after="0" w:line="240" w:lineRule="auto"/>
        <w:rPr>
          <w:rFonts w:cs="Times New Roman"/>
          <w:bCs/>
          <w:sz w:val="24"/>
          <w:szCs w:val="24"/>
        </w:rPr>
      </w:pPr>
      <w:bookmarkStart w:id="9" w:name="_Toc420228174"/>
      <w:r w:rsidRPr="00FC4B45">
        <w:rPr>
          <w:rFonts w:cs="Times New Roman"/>
          <w:b/>
          <w:sz w:val="24"/>
          <w:szCs w:val="24"/>
          <w:shd w:val="clear" w:color="auto" w:fill="FFFFFF"/>
        </w:rPr>
        <w:lastRenderedPageBreak/>
        <w:t>Statistical analysis</w:t>
      </w:r>
      <w:bookmarkEnd w:id="9"/>
      <w:r w:rsidRPr="00FC4B45">
        <w:rPr>
          <w:rFonts w:cs="Times New Roman"/>
          <w:b/>
          <w:sz w:val="24"/>
          <w:szCs w:val="24"/>
          <w:shd w:val="clear" w:color="auto" w:fill="FFFFFF"/>
        </w:rPr>
        <w:t>:</w:t>
      </w:r>
      <w:r w:rsidRPr="00FC4B45">
        <w:rPr>
          <w:rFonts w:cs="Times New Roman"/>
          <w:bCs/>
          <w:sz w:val="24"/>
          <w:szCs w:val="24"/>
        </w:rPr>
        <w:t xml:space="preserve"> Data on mean values of CH</w:t>
      </w:r>
      <w:r w:rsidRPr="00FC4B45">
        <w:rPr>
          <w:rFonts w:cs="Times New Roman"/>
          <w:bCs/>
          <w:sz w:val="24"/>
          <w:szCs w:val="24"/>
          <w:vertAlign w:val="subscript"/>
        </w:rPr>
        <w:t>4</w:t>
      </w:r>
      <w:r w:rsidRPr="00FC4B45">
        <w:rPr>
          <w:rFonts w:cs="Times New Roman"/>
          <w:bCs/>
          <w:sz w:val="24"/>
          <w:szCs w:val="24"/>
        </w:rPr>
        <w:t xml:space="preserve"> production, protozoa population, pH, NH</w:t>
      </w:r>
      <w:r w:rsidRPr="00FC4B45">
        <w:rPr>
          <w:rFonts w:cs="Times New Roman"/>
          <w:bCs/>
          <w:sz w:val="24"/>
          <w:szCs w:val="24"/>
          <w:vertAlign w:val="subscript"/>
        </w:rPr>
        <w:t>3</w:t>
      </w:r>
      <w:r w:rsidRPr="00FC4B45">
        <w:rPr>
          <w:rFonts w:cs="Times New Roman"/>
          <w:bCs/>
          <w:sz w:val="24"/>
          <w:szCs w:val="24"/>
        </w:rPr>
        <w:t xml:space="preserve">-N, and VFA were analyzed according to a completely randomized design with the repeated measures (hours) using PROC MIXED procedure of </w:t>
      </w:r>
      <w:r w:rsidRPr="00FC4B45">
        <w:rPr>
          <w:rFonts w:cs="Times New Roman"/>
          <w:bCs/>
          <w:noProof/>
          <w:sz w:val="24"/>
          <w:szCs w:val="24"/>
        </w:rPr>
        <w:t>SAS (2002)</w:t>
      </w:r>
      <w:r w:rsidRPr="00FC4B45">
        <w:rPr>
          <w:rFonts w:cs="Times New Roman"/>
          <w:bCs/>
          <w:sz w:val="24"/>
          <w:szCs w:val="24"/>
        </w:rPr>
        <w:t xml:space="preserve">. Data on gas production, MCP, and digestibility were analyzed by ANOVA procedure of </w:t>
      </w:r>
      <w:r w:rsidRPr="00FC4B45">
        <w:rPr>
          <w:rFonts w:cs="Times New Roman"/>
          <w:bCs/>
          <w:noProof/>
          <w:sz w:val="24"/>
          <w:szCs w:val="24"/>
        </w:rPr>
        <w:t>SAS (2002)</w:t>
      </w:r>
      <w:r w:rsidRPr="00FC4B45">
        <w:rPr>
          <w:rFonts w:cs="Times New Roman"/>
          <w:bCs/>
          <w:sz w:val="24"/>
          <w:szCs w:val="24"/>
        </w:rPr>
        <w:t xml:space="preserve"> for a completely randomized design. Significant differences among treatment means were assessed by Tukey's multiple comparison tests after a significant F-test at α&lt;0.05.</w:t>
      </w:r>
    </w:p>
    <w:p w14:paraId="37675895" w14:textId="77777777" w:rsidR="00E156FC" w:rsidRPr="00FC4B45" w:rsidRDefault="00E156FC" w:rsidP="005429B5">
      <w:pPr>
        <w:pStyle w:val="Heading2"/>
        <w:rPr>
          <w:sz w:val="24"/>
          <w:szCs w:val="24"/>
        </w:rPr>
      </w:pPr>
      <w:bookmarkStart w:id="10" w:name="_Toc420228175"/>
      <w:r w:rsidRPr="00FC4B45">
        <w:rPr>
          <w:sz w:val="24"/>
          <w:szCs w:val="24"/>
        </w:rPr>
        <w:t>RESULTS</w:t>
      </w:r>
      <w:bookmarkEnd w:id="10"/>
    </w:p>
    <w:p w14:paraId="12BE163C" w14:textId="5C916A71" w:rsidR="00E156FC" w:rsidRPr="00FC4B45" w:rsidRDefault="00E156FC" w:rsidP="00E156FC">
      <w:pPr>
        <w:spacing w:before="120" w:after="0" w:line="240" w:lineRule="auto"/>
        <w:rPr>
          <w:rFonts w:cs="Times New Roman"/>
          <w:bCs/>
          <w:sz w:val="24"/>
          <w:szCs w:val="24"/>
        </w:rPr>
      </w:pPr>
      <w:bookmarkStart w:id="11" w:name="_Toc420228176"/>
      <w:r w:rsidRPr="00FC4B45">
        <w:rPr>
          <w:rFonts w:cs="Times New Roman"/>
          <w:b/>
          <w:sz w:val="24"/>
          <w:szCs w:val="24"/>
          <w:shd w:val="clear" w:color="auto" w:fill="FFFFFF"/>
        </w:rPr>
        <w:t>Gas production, methane production, and protozoa</w:t>
      </w:r>
      <w:bookmarkEnd w:id="11"/>
      <w:r w:rsidRPr="00FC4B45">
        <w:rPr>
          <w:rFonts w:cs="Times New Roman"/>
          <w:b/>
          <w:sz w:val="24"/>
          <w:szCs w:val="24"/>
          <w:shd w:val="clear" w:color="auto" w:fill="FFFFFF"/>
        </w:rPr>
        <w:t>:</w:t>
      </w:r>
      <w:r w:rsidRPr="00FC4B45">
        <w:rPr>
          <w:rFonts w:cs="Times New Roman"/>
          <w:bCs/>
          <w:sz w:val="24"/>
          <w:szCs w:val="24"/>
        </w:rPr>
        <w:t xml:space="preserve"> Table 2 shows that cumulative gas production at 48 h reduced (</w:t>
      </w:r>
      <w:r w:rsidRPr="00FC4B45">
        <w:rPr>
          <w:rFonts w:cs="Times New Roman"/>
          <w:bCs/>
          <w:i/>
          <w:sz w:val="24"/>
          <w:szCs w:val="24"/>
        </w:rPr>
        <w:t>P</w:t>
      </w:r>
      <w:r w:rsidRPr="00FC4B45">
        <w:rPr>
          <w:rFonts w:cs="Times New Roman"/>
          <w:bCs/>
          <w:sz w:val="24"/>
          <w:szCs w:val="24"/>
        </w:rPr>
        <w:t>&lt;0.01) from 12.61 mmol/g DM in the control to 11.</w:t>
      </w:r>
      <w:r w:rsidR="00211503">
        <w:rPr>
          <w:rFonts w:cs="Times New Roman"/>
          <w:bCs/>
          <w:sz w:val="24"/>
          <w:szCs w:val="24"/>
        </w:rPr>
        <w:t>8</w:t>
      </w:r>
      <w:r w:rsidRPr="00FC4B45">
        <w:rPr>
          <w:rFonts w:cs="Times New Roman"/>
          <w:bCs/>
          <w:sz w:val="24"/>
          <w:szCs w:val="24"/>
        </w:rPr>
        <w:t>-11.9 mmol/g DM in the combinative oil groups. It was found from this study that oil inclusion as combinative form was more effective to mitigate CH</w:t>
      </w:r>
      <w:r w:rsidRPr="00FC4B45">
        <w:rPr>
          <w:rFonts w:cs="Times New Roman"/>
          <w:bCs/>
          <w:sz w:val="24"/>
          <w:szCs w:val="24"/>
          <w:vertAlign w:val="subscript"/>
        </w:rPr>
        <w:t>4</w:t>
      </w:r>
      <w:r w:rsidRPr="00FC4B45">
        <w:rPr>
          <w:rFonts w:cs="Times New Roman"/>
          <w:bCs/>
          <w:sz w:val="24"/>
          <w:szCs w:val="24"/>
        </w:rPr>
        <w:t xml:space="preserve"> emission rather than single form. The SOFO had lower (</w:t>
      </w:r>
      <w:r w:rsidRPr="00FC4B45">
        <w:rPr>
          <w:rFonts w:cs="Times New Roman"/>
          <w:bCs/>
          <w:i/>
          <w:sz w:val="24"/>
          <w:szCs w:val="24"/>
        </w:rPr>
        <w:t>P</w:t>
      </w:r>
      <w:r w:rsidRPr="00FC4B45">
        <w:rPr>
          <w:rFonts w:cs="Times New Roman"/>
          <w:bCs/>
          <w:sz w:val="24"/>
          <w:szCs w:val="24"/>
        </w:rPr>
        <w:t>&lt;0.05) CH</w:t>
      </w:r>
      <w:r w:rsidRPr="00FC4B45">
        <w:rPr>
          <w:rFonts w:cs="Times New Roman"/>
          <w:bCs/>
          <w:sz w:val="24"/>
          <w:szCs w:val="24"/>
          <w:vertAlign w:val="subscript"/>
        </w:rPr>
        <w:t>4</w:t>
      </w:r>
      <w:r w:rsidRPr="00FC4B45">
        <w:rPr>
          <w:rFonts w:cs="Times New Roman"/>
          <w:bCs/>
          <w:sz w:val="24"/>
          <w:szCs w:val="24"/>
        </w:rPr>
        <w:t xml:space="preserve"> production than the control. Population of ruminal protozoa were numerously decreased (</w:t>
      </w:r>
      <w:r w:rsidRPr="00FC4B45">
        <w:rPr>
          <w:rFonts w:cs="Times New Roman"/>
          <w:bCs/>
          <w:i/>
          <w:sz w:val="24"/>
          <w:szCs w:val="24"/>
        </w:rPr>
        <w:t>P</w:t>
      </w:r>
      <w:r w:rsidRPr="00FC4B45">
        <w:rPr>
          <w:rFonts w:cs="Times New Roman"/>
          <w:bCs/>
          <w:sz w:val="24"/>
          <w:szCs w:val="24"/>
        </w:rPr>
        <w:t>&lt;0.01) in the combinative oil groups (6.93-8.20×10</w:t>
      </w:r>
      <w:r w:rsidRPr="00FC4B45">
        <w:rPr>
          <w:rFonts w:cs="Times New Roman"/>
          <w:bCs/>
          <w:sz w:val="24"/>
          <w:szCs w:val="24"/>
          <w:vertAlign w:val="superscript"/>
        </w:rPr>
        <w:t>5</w:t>
      </w:r>
      <w:r w:rsidRPr="00FC4B45">
        <w:rPr>
          <w:rFonts w:cs="Times New Roman"/>
          <w:bCs/>
          <w:sz w:val="24"/>
          <w:szCs w:val="24"/>
        </w:rPr>
        <w:t xml:space="preserve"> cfu/ml) compared to 1.08×10</w:t>
      </w:r>
      <w:r w:rsidRPr="00FC4B45">
        <w:rPr>
          <w:rFonts w:cs="Times New Roman"/>
          <w:bCs/>
          <w:sz w:val="24"/>
          <w:szCs w:val="24"/>
          <w:vertAlign w:val="superscript"/>
        </w:rPr>
        <w:t>6</w:t>
      </w:r>
      <w:r w:rsidRPr="00FC4B45">
        <w:rPr>
          <w:rFonts w:cs="Times New Roman"/>
          <w:bCs/>
          <w:sz w:val="24"/>
          <w:szCs w:val="24"/>
        </w:rPr>
        <w:t xml:space="preserve"> cfu/ml in the control.</w:t>
      </w:r>
    </w:p>
    <w:p w14:paraId="2167C7ED" w14:textId="2277BA14" w:rsidR="00E156FC" w:rsidRPr="00FC4B45" w:rsidRDefault="00E156FC" w:rsidP="00EB4BAC">
      <w:pPr>
        <w:spacing w:before="120" w:after="120" w:line="240" w:lineRule="auto"/>
        <w:ind w:left="1077" w:hanging="1077"/>
        <w:jc w:val="left"/>
        <w:rPr>
          <w:rFonts w:cs="Times New Roman"/>
          <w:b/>
          <w:bCs/>
          <w:sz w:val="24"/>
          <w:szCs w:val="24"/>
        </w:rPr>
      </w:pPr>
      <w:r w:rsidRPr="00FC4B45">
        <w:rPr>
          <w:rFonts w:cs="Times New Roman"/>
          <w:b/>
          <w:bCs/>
          <w:sz w:val="24"/>
          <w:szCs w:val="24"/>
        </w:rPr>
        <w:t>Table 2. Gas production, CH</w:t>
      </w:r>
      <w:r w:rsidRPr="00FC4B45">
        <w:rPr>
          <w:rFonts w:cs="Times New Roman"/>
          <w:b/>
          <w:bCs/>
          <w:sz w:val="24"/>
          <w:szCs w:val="24"/>
          <w:vertAlign w:val="subscript"/>
        </w:rPr>
        <w:t>4</w:t>
      </w:r>
      <w:r w:rsidRPr="00FC4B45">
        <w:rPr>
          <w:rFonts w:cs="Times New Roman"/>
          <w:b/>
          <w:bCs/>
          <w:sz w:val="24"/>
          <w:szCs w:val="24"/>
        </w:rPr>
        <w:t xml:space="preserve"> production, and protozoa</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942"/>
        <w:gridCol w:w="778"/>
        <w:gridCol w:w="778"/>
        <w:gridCol w:w="838"/>
        <w:gridCol w:w="825"/>
        <w:gridCol w:w="850"/>
        <w:gridCol w:w="708"/>
        <w:gridCol w:w="953"/>
      </w:tblGrid>
      <w:tr w:rsidR="00E156FC" w:rsidRPr="00FA5819" w14:paraId="62137CF9" w14:textId="77777777" w:rsidTr="00212172">
        <w:trPr>
          <w:tblHeader/>
        </w:trPr>
        <w:tc>
          <w:tcPr>
            <w:tcW w:w="1304" w:type="pct"/>
            <w:vMerge w:val="restart"/>
            <w:vAlign w:val="center"/>
          </w:tcPr>
          <w:p w14:paraId="256D978E" w14:textId="77777777" w:rsidR="00E156FC" w:rsidRPr="00FA5819" w:rsidRDefault="00E156FC" w:rsidP="00F47F12">
            <w:pPr>
              <w:spacing w:line="240" w:lineRule="auto"/>
              <w:rPr>
                <w:bCs/>
                <w:sz w:val="22"/>
                <w:szCs w:val="22"/>
                <w:lang w:val="en-US"/>
              </w:rPr>
            </w:pPr>
            <w:r w:rsidRPr="00FA5819">
              <w:rPr>
                <w:bCs/>
                <w:sz w:val="22"/>
                <w:szCs w:val="22"/>
                <w:lang w:val="en-US"/>
              </w:rPr>
              <w:t>Item</w:t>
            </w:r>
          </w:p>
        </w:tc>
        <w:tc>
          <w:tcPr>
            <w:tcW w:w="2775" w:type="pct"/>
            <w:gridSpan w:val="6"/>
            <w:tcBorders>
              <w:bottom w:val="single" w:sz="4" w:space="0" w:color="auto"/>
            </w:tcBorders>
          </w:tcPr>
          <w:p w14:paraId="785BEEDC" w14:textId="77777777" w:rsidR="00E156FC" w:rsidRPr="00FA5819" w:rsidRDefault="00E156FC" w:rsidP="00F47F12">
            <w:pPr>
              <w:spacing w:line="240" w:lineRule="auto"/>
              <w:jc w:val="center"/>
              <w:rPr>
                <w:bCs/>
                <w:sz w:val="22"/>
                <w:szCs w:val="22"/>
                <w:lang w:val="en-US"/>
              </w:rPr>
            </w:pPr>
            <w:r w:rsidRPr="00FA5819">
              <w:rPr>
                <w:bCs/>
                <w:sz w:val="22"/>
                <w:szCs w:val="22"/>
                <w:lang w:val="en-US"/>
              </w:rPr>
              <w:t>Treatment</w:t>
            </w:r>
          </w:p>
        </w:tc>
        <w:tc>
          <w:tcPr>
            <w:tcW w:w="392" w:type="pct"/>
            <w:vMerge w:val="restart"/>
            <w:vAlign w:val="center"/>
          </w:tcPr>
          <w:p w14:paraId="79E76AAD" w14:textId="77777777" w:rsidR="00E156FC" w:rsidRPr="00FA5819" w:rsidRDefault="00E156FC" w:rsidP="00F47F12">
            <w:pPr>
              <w:spacing w:line="240" w:lineRule="auto"/>
              <w:jc w:val="center"/>
              <w:rPr>
                <w:bCs/>
                <w:sz w:val="22"/>
                <w:szCs w:val="22"/>
                <w:lang w:val="en-US"/>
              </w:rPr>
            </w:pPr>
            <w:r w:rsidRPr="00FA5819">
              <w:rPr>
                <w:bCs/>
                <w:sz w:val="22"/>
                <w:szCs w:val="22"/>
                <w:lang w:val="en-US"/>
              </w:rPr>
              <w:t>SEM</w:t>
            </w:r>
          </w:p>
        </w:tc>
        <w:tc>
          <w:tcPr>
            <w:tcW w:w="529" w:type="pct"/>
            <w:vMerge w:val="restart"/>
            <w:vAlign w:val="center"/>
          </w:tcPr>
          <w:p w14:paraId="3DF45952" w14:textId="77777777" w:rsidR="00E156FC" w:rsidRPr="00FA5819" w:rsidRDefault="00E156FC" w:rsidP="00F47F12">
            <w:pPr>
              <w:spacing w:line="240" w:lineRule="auto"/>
              <w:jc w:val="center"/>
              <w:rPr>
                <w:bCs/>
                <w:sz w:val="22"/>
                <w:szCs w:val="22"/>
                <w:lang w:val="en-US"/>
              </w:rPr>
            </w:pPr>
            <w:r w:rsidRPr="00FA5819">
              <w:rPr>
                <w:bCs/>
                <w:i/>
                <w:sz w:val="22"/>
                <w:szCs w:val="22"/>
                <w:lang w:val="en-US"/>
              </w:rPr>
              <w:t>P</w:t>
            </w:r>
            <w:r w:rsidRPr="00FA5819">
              <w:rPr>
                <w:bCs/>
                <w:sz w:val="22"/>
                <w:szCs w:val="22"/>
                <w:lang w:val="en-US"/>
              </w:rPr>
              <w:t>-value</w:t>
            </w:r>
          </w:p>
        </w:tc>
      </w:tr>
      <w:tr w:rsidR="00E156FC" w:rsidRPr="00FA5819" w14:paraId="06E7AD17" w14:textId="77777777" w:rsidTr="00212172">
        <w:trPr>
          <w:tblHeader/>
        </w:trPr>
        <w:tc>
          <w:tcPr>
            <w:tcW w:w="1304" w:type="pct"/>
            <w:vMerge/>
            <w:tcBorders>
              <w:bottom w:val="single" w:sz="4" w:space="0" w:color="auto"/>
            </w:tcBorders>
          </w:tcPr>
          <w:p w14:paraId="20AE42A9" w14:textId="77777777" w:rsidR="00E156FC" w:rsidRPr="00FA5819" w:rsidRDefault="00E156FC" w:rsidP="00F47F12">
            <w:pPr>
              <w:spacing w:line="240" w:lineRule="auto"/>
              <w:rPr>
                <w:b/>
                <w:bCs/>
                <w:sz w:val="22"/>
                <w:szCs w:val="22"/>
                <w:lang w:val="en-US"/>
              </w:rPr>
            </w:pPr>
          </w:p>
        </w:tc>
        <w:tc>
          <w:tcPr>
            <w:tcW w:w="522" w:type="pct"/>
            <w:tcBorders>
              <w:top w:val="single" w:sz="4" w:space="0" w:color="auto"/>
              <w:bottom w:val="single" w:sz="4" w:space="0" w:color="auto"/>
            </w:tcBorders>
          </w:tcPr>
          <w:p w14:paraId="58401DF1" w14:textId="77777777" w:rsidR="00E156FC" w:rsidRPr="00FA5819" w:rsidRDefault="00E156FC" w:rsidP="00F47F12">
            <w:pPr>
              <w:spacing w:line="240" w:lineRule="auto"/>
              <w:jc w:val="center"/>
              <w:rPr>
                <w:sz w:val="22"/>
                <w:szCs w:val="22"/>
              </w:rPr>
            </w:pPr>
            <w:r w:rsidRPr="00FA5819">
              <w:rPr>
                <w:sz w:val="22"/>
                <w:szCs w:val="22"/>
              </w:rPr>
              <w:t>Control</w:t>
            </w:r>
          </w:p>
        </w:tc>
        <w:tc>
          <w:tcPr>
            <w:tcW w:w="431" w:type="pct"/>
            <w:tcBorders>
              <w:top w:val="single" w:sz="4" w:space="0" w:color="auto"/>
              <w:bottom w:val="single" w:sz="4" w:space="0" w:color="auto"/>
            </w:tcBorders>
          </w:tcPr>
          <w:p w14:paraId="2EC98A82" w14:textId="77777777" w:rsidR="00E156FC" w:rsidRPr="00FA5819" w:rsidRDefault="00E156FC" w:rsidP="00F47F12">
            <w:pPr>
              <w:spacing w:line="240" w:lineRule="auto"/>
              <w:jc w:val="center"/>
              <w:rPr>
                <w:sz w:val="22"/>
                <w:szCs w:val="22"/>
              </w:rPr>
            </w:pPr>
            <w:r w:rsidRPr="00FA5819">
              <w:rPr>
                <w:sz w:val="22"/>
                <w:szCs w:val="22"/>
              </w:rPr>
              <w:t>LO</w:t>
            </w:r>
          </w:p>
        </w:tc>
        <w:tc>
          <w:tcPr>
            <w:tcW w:w="431" w:type="pct"/>
            <w:tcBorders>
              <w:top w:val="single" w:sz="4" w:space="0" w:color="auto"/>
              <w:bottom w:val="single" w:sz="4" w:space="0" w:color="auto"/>
            </w:tcBorders>
          </w:tcPr>
          <w:p w14:paraId="04D35C8B" w14:textId="77777777" w:rsidR="00E156FC" w:rsidRPr="00FA5819" w:rsidRDefault="00E156FC" w:rsidP="00F47F12">
            <w:pPr>
              <w:spacing w:line="240" w:lineRule="auto"/>
              <w:jc w:val="center"/>
              <w:rPr>
                <w:sz w:val="22"/>
                <w:szCs w:val="22"/>
              </w:rPr>
            </w:pPr>
            <w:r w:rsidRPr="00FA5819">
              <w:rPr>
                <w:sz w:val="22"/>
                <w:szCs w:val="22"/>
              </w:rPr>
              <w:t>SO</w:t>
            </w:r>
          </w:p>
        </w:tc>
        <w:tc>
          <w:tcPr>
            <w:tcW w:w="464" w:type="pct"/>
            <w:tcBorders>
              <w:top w:val="single" w:sz="4" w:space="0" w:color="auto"/>
              <w:bottom w:val="single" w:sz="4" w:space="0" w:color="auto"/>
            </w:tcBorders>
          </w:tcPr>
          <w:p w14:paraId="3B9206A1" w14:textId="77777777" w:rsidR="00E156FC" w:rsidRPr="00FA5819" w:rsidRDefault="00E156FC" w:rsidP="00F47F12">
            <w:pPr>
              <w:spacing w:line="240" w:lineRule="auto"/>
              <w:jc w:val="center"/>
              <w:rPr>
                <w:sz w:val="22"/>
                <w:szCs w:val="22"/>
              </w:rPr>
            </w:pPr>
            <w:r w:rsidRPr="00FA5819">
              <w:rPr>
                <w:sz w:val="22"/>
                <w:szCs w:val="22"/>
              </w:rPr>
              <w:t>LOFO</w:t>
            </w:r>
          </w:p>
        </w:tc>
        <w:tc>
          <w:tcPr>
            <w:tcW w:w="457" w:type="pct"/>
            <w:tcBorders>
              <w:top w:val="single" w:sz="4" w:space="0" w:color="auto"/>
              <w:bottom w:val="single" w:sz="4" w:space="0" w:color="auto"/>
            </w:tcBorders>
          </w:tcPr>
          <w:p w14:paraId="6C1528ED" w14:textId="77777777" w:rsidR="00E156FC" w:rsidRPr="00FA5819" w:rsidRDefault="00E156FC" w:rsidP="00F47F12">
            <w:pPr>
              <w:spacing w:line="240" w:lineRule="auto"/>
              <w:jc w:val="center"/>
              <w:rPr>
                <w:sz w:val="22"/>
                <w:szCs w:val="22"/>
              </w:rPr>
            </w:pPr>
            <w:r w:rsidRPr="00FA5819">
              <w:rPr>
                <w:sz w:val="22"/>
                <w:szCs w:val="22"/>
              </w:rPr>
              <w:t>SOFO</w:t>
            </w:r>
          </w:p>
        </w:tc>
        <w:tc>
          <w:tcPr>
            <w:tcW w:w="471" w:type="pct"/>
            <w:tcBorders>
              <w:top w:val="single" w:sz="4" w:space="0" w:color="auto"/>
              <w:bottom w:val="single" w:sz="4" w:space="0" w:color="auto"/>
            </w:tcBorders>
          </w:tcPr>
          <w:p w14:paraId="02CFEF28" w14:textId="77777777" w:rsidR="00E156FC" w:rsidRPr="00FA5819" w:rsidRDefault="00E156FC" w:rsidP="00F47F12">
            <w:pPr>
              <w:spacing w:line="240" w:lineRule="auto"/>
              <w:jc w:val="center"/>
              <w:rPr>
                <w:sz w:val="22"/>
                <w:szCs w:val="22"/>
              </w:rPr>
            </w:pPr>
            <w:r w:rsidRPr="00FA5819">
              <w:rPr>
                <w:sz w:val="22"/>
                <w:szCs w:val="22"/>
              </w:rPr>
              <w:t>MIXO</w:t>
            </w:r>
          </w:p>
        </w:tc>
        <w:tc>
          <w:tcPr>
            <w:tcW w:w="392" w:type="pct"/>
            <w:vMerge/>
            <w:tcBorders>
              <w:bottom w:val="single" w:sz="4" w:space="0" w:color="auto"/>
            </w:tcBorders>
          </w:tcPr>
          <w:p w14:paraId="7E168A19" w14:textId="77777777" w:rsidR="00E156FC" w:rsidRPr="00FA5819" w:rsidRDefault="00E156FC" w:rsidP="00F47F12">
            <w:pPr>
              <w:spacing w:line="240" w:lineRule="auto"/>
              <w:jc w:val="center"/>
              <w:rPr>
                <w:b/>
                <w:bCs/>
                <w:sz w:val="22"/>
                <w:szCs w:val="22"/>
                <w:lang w:val="en-US"/>
              </w:rPr>
            </w:pPr>
          </w:p>
        </w:tc>
        <w:tc>
          <w:tcPr>
            <w:tcW w:w="529" w:type="pct"/>
            <w:vMerge/>
            <w:tcBorders>
              <w:bottom w:val="single" w:sz="4" w:space="0" w:color="auto"/>
            </w:tcBorders>
          </w:tcPr>
          <w:p w14:paraId="41BCE69B" w14:textId="77777777" w:rsidR="00E156FC" w:rsidRPr="00FA5819" w:rsidRDefault="00E156FC" w:rsidP="00F47F12">
            <w:pPr>
              <w:spacing w:line="240" w:lineRule="auto"/>
              <w:jc w:val="center"/>
              <w:rPr>
                <w:b/>
                <w:bCs/>
                <w:sz w:val="22"/>
                <w:szCs w:val="22"/>
                <w:lang w:val="en-US"/>
              </w:rPr>
            </w:pPr>
          </w:p>
        </w:tc>
      </w:tr>
      <w:tr w:rsidR="00E156FC" w:rsidRPr="00FA5819" w14:paraId="6BCE78F3" w14:textId="77777777" w:rsidTr="00212172">
        <w:tc>
          <w:tcPr>
            <w:tcW w:w="1304" w:type="pct"/>
            <w:tcBorders>
              <w:top w:val="single" w:sz="4" w:space="0" w:color="auto"/>
              <w:bottom w:val="nil"/>
            </w:tcBorders>
          </w:tcPr>
          <w:p w14:paraId="00E80A99" w14:textId="77777777" w:rsidR="00E156FC" w:rsidRPr="00FA5819" w:rsidRDefault="00E156FC" w:rsidP="00F47F12">
            <w:pPr>
              <w:spacing w:line="240" w:lineRule="auto"/>
              <w:rPr>
                <w:bCs/>
                <w:sz w:val="22"/>
                <w:szCs w:val="22"/>
                <w:lang w:val="en-US"/>
              </w:rPr>
            </w:pPr>
            <w:r w:rsidRPr="00FA5819">
              <w:rPr>
                <w:bCs/>
                <w:sz w:val="22"/>
                <w:szCs w:val="22"/>
                <w:lang w:val="en-US"/>
              </w:rPr>
              <w:t>Gas (48 h)</w:t>
            </w:r>
          </w:p>
        </w:tc>
        <w:tc>
          <w:tcPr>
            <w:tcW w:w="522" w:type="pct"/>
            <w:tcBorders>
              <w:top w:val="single" w:sz="4" w:space="0" w:color="auto"/>
              <w:bottom w:val="nil"/>
            </w:tcBorders>
          </w:tcPr>
          <w:p w14:paraId="60EB4EBF" w14:textId="77777777" w:rsidR="00E156FC" w:rsidRPr="00FA5819" w:rsidRDefault="00E156FC" w:rsidP="00F47F12">
            <w:pPr>
              <w:spacing w:line="240" w:lineRule="auto"/>
              <w:jc w:val="center"/>
              <w:rPr>
                <w:bCs/>
                <w:sz w:val="22"/>
                <w:szCs w:val="22"/>
                <w:lang w:val="en-US"/>
              </w:rPr>
            </w:pPr>
          </w:p>
        </w:tc>
        <w:tc>
          <w:tcPr>
            <w:tcW w:w="431" w:type="pct"/>
            <w:tcBorders>
              <w:top w:val="single" w:sz="4" w:space="0" w:color="auto"/>
              <w:bottom w:val="nil"/>
            </w:tcBorders>
          </w:tcPr>
          <w:p w14:paraId="3E38D3F3" w14:textId="77777777" w:rsidR="00E156FC" w:rsidRPr="00FA5819" w:rsidRDefault="00E156FC" w:rsidP="00F47F12">
            <w:pPr>
              <w:spacing w:line="240" w:lineRule="auto"/>
              <w:jc w:val="center"/>
              <w:rPr>
                <w:bCs/>
                <w:sz w:val="22"/>
                <w:szCs w:val="22"/>
                <w:lang w:val="en-US"/>
              </w:rPr>
            </w:pPr>
          </w:p>
        </w:tc>
        <w:tc>
          <w:tcPr>
            <w:tcW w:w="431" w:type="pct"/>
            <w:tcBorders>
              <w:top w:val="single" w:sz="4" w:space="0" w:color="auto"/>
              <w:bottom w:val="nil"/>
            </w:tcBorders>
          </w:tcPr>
          <w:p w14:paraId="2527D910" w14:textId="77777777" w:rsidR="00E156FC" w:rsidRPr="00FA5819" w:rsidRDefault="00E156FC" w:rsidP="00F47F12">
            <w:pPr>
              <w:spacing w:line="240" w:lineRule="auto"/>
              <w:jc w:val="center"/>
              <w:rPr>
                <w:bCs/>
                <w:sz w:val="22"/>
                <w:szCs w:val="22"/>
                <w:lang w:val="en-US"/>
              </w:rPr>
            </w:pPr>
          </w:p>
        </w:tc>
        <w:tc>
          <w:tcPr>
            <w:tcW w:w="464" w:type="pct"/>
            <w:tcBorders>
              <w:top w:val="single" w:sz="4" w:space="0" w:color="auto"/>
              <w:bottom w:val="nil"/>
            </w:tcBorders>
          </w:tcPr>
          <w:p w14:paraId="04BEEEBE" w14:textId="77777777" w:rsidR="00E156FC" w:rsidRPr="00FA5819" w:rsidRDefault="00E156FC" w:rsidP="00F47F12">
            <w:pPr>
              <w:spacing w:line="240" w:lineRule="auto"/>
              <w:jc w:val="center"/>
              <w:rPr>
                <w:bCs/>
                <w:sz w:val="22"/>
                <w:szCs w:val="22"/>
                <w:lang w:val="en-US"/>
              </w:rPr>
            </w:pPr>
          </w:p>
        </w:tc>
        <w:tc>
          <w:tcPr>
            <w:tcW w:w="457" w:type="pct"/>
            <w:tcBorders>
              <w:top w:val="single" w:sz="4" w:space="0" w:color="auto"/>
              <w:bottom w:val="nil"/>
            </w:tcBorders>
          </w:tcPr>
          <w:p w14:paraId="2BD99DC8" w14:textId="77777777" w:rsidR="00E156FC" w:rsidRPr="00FA5819" w:rsidRDefault="00E156FC" w:rsidP="00F47F12">
            <w:pPr>
              <w:spacing w:line="240" w:lineRule="auto"/>
              <w:jc w:val="center"/>
              <w:rPr>
                <w:bCs/>
                <w:sz w:val="22"/>
                <w:szCs w:val="22"/>
                <w:lang w:val="en-US"/>
              </w:rPr>
            </w:pPr>
          </w:p>
        </w:tc>
        <w:tc>
          <w:tcPr>
            <w:tcW w:w="471" w:type="pct"/>
            <w:tcBorders>
              <w:top w:val="single" w:sz="4" w:space="0" w:color="auto"/>
              <w:bottom w:val="nil"/>
            </w:tcBorders>
          </w:tcPr>
          <w:p w14:paraId="5686C251" w14:textId="77777777" w:rsidR="00E156FC" w:rsidRPr="00FA5819" w:rsidRDefault="00E156FC" w:rsidP="00F47F12">
            <w:pPr>
              <w:spacing w:line="240" w:lineRule="auto"/>
              <w:jc w:val="center"/>
              <w:rPr>
                <w:bCs/>
                <w:sz w:val="22"/>
                <w:szCs w:val="22"/>
                <w:lang w:val="en-US"/>
              </w:rPr>
            </w:pPr>
          </w:p>
        </w:tc>
        <w:tc>
          <w:tcPr>
            <w:tcW w:w="392" w:type="pct"/>
            <w:tcBorders>
              <w:top w:val="single" w:sz="4" w:space="0" w:color="auto"/>
              <w:bottom w:val="nil"/>
            </w:tcBorders>
            <w:vAlign w:val="center"/>
          </w:tcPr>
          <w:p w14:paraId="0AD99444" w14:textId="77777777" w:rsidR="00E156FC" w:rsidRPr="00FA5819" w:rsidRDefault="00E156FC" w:rsidP="00F47F12">
            <w:pPr>
              <w:spacing w:line="240" w:lineRule="auto"/>
              <w:jc w:val="center"/>
              <w:rPr>
                <w:bCs/>
                <w:sz w:val="22"/>
                <w:szCs w:val="22"/>
                <w:lang w:val="en-US"/>
              </w:rPr>
            </w:pPr>
          </w:p>
        </w:tc>
        <w:tc>
          <w:tcPr>
            <w:tcW w:w="529" w:type="pct"/>
            <w:tcBorders>
              <w:top w:val="single" w:sz="4" w:space="0" w:color="auto"/>
              <w:bottom w:val="nil"/>
            </w:tcBorders>
            <w:vAlign w:val="center"/>
          </w:tcPr>
          <w:p w14:paraId="5819AB53" w14:textId="77777777" w:rsidR="00E156FC" w:rsidRPr="00FA5819" w:rsidRDefault="00E156FC" w:rsidP="00F47F12">
            <w:pPr>
              <w:spacing w:line="240" w:lineRule="auto"/>
              <w:jc w:val="center"/>
              <w:rPr>
                <w:bCs/>
                <w:sz w:val="22"/>
                <w:szCs w:val="22"/>
                <w:lang w:val="en-US"/>
              </w:rPr>
            </w:pPr>
          </w:p>
        </w:tc>
      </w:tr>
      <w:tr w:rsidR="00E156FC" w:rsidRPr="00FA5819" w14:paraId="6BEB160B" w14:textId="77777777" w:rsidTr="00212172">
        <w:tc>
          <w:tcPr>
            <w:tcW w:w="1304" w:type="pct"/>
            <w:tcBorders>
              <w:top w:val="nil"/>
            </w:tcBorders>
          </w:tcPr>
          <w:p w14:paraId="6B02EE66" w14:textId="77777777" w:rsidR="00E156FC" w:rsidRPr="00FA5819" w:rsidRDefault="00E156FC" w:rsidP="00F47F12">
            <w:pPr>
              <w:spacing w:line="240" w:lineRule="auto"/>
              <w:ind w:left="176"/>
              <w:rPr>
                <w:bCs/>
                <w:sz w:val="22"/>
                <w:szCs w:val="22"/>
                <w:lang w:val="en-US"/>
              </w:rPr>
            </w:pPr>
            <w:r w:rsidRPr="00FA5819">
              <w:rPr>
                <w:bCs/>
                <w:sz w:val="22"/>
                <w:szCs w:val="22"/>
                <w:lang w:val="en-US"/>
              </w:rPr>
              <w:t>ml/g DM</w:t>
            </w:r>
          </w:p>
        </w:tc>
        <w:tc>
          <w:tcPr>
            <w:tcW w:w="522" w:type="pct"/>
            <w:tcBorders>
              <w:top w:val="nil"/>
            </w:tcBorders>
          </w:tcPr>
          <w:p w14:paraId="6A809D16" w14:textId="521F61A9" w:rsidR="00E156FC" w:rsidRPr="00FA5819" w:rsidRDefault="00E156FC" w:rsidP="00F47F12">
            <w:pPr>
              <w:spacing w:line="240" w:lineRule="auto"/>
              <w:jc w:val="center"/>
              <w:rPr>
                <w:bCs/>
                <w:sz w:val="22"/>
                <w:szCs w:val="22"/>
                <w:lang w:val="en-US"/>
              </w:rPr>
            </w:pPr>
            <w:r w:rsidRPr="00FA5819">
              <w:rPr>
                <w:bCs/>
                <w:sz w:val="22"/>
                <w:szCs w:val="22"/>
                <w:lang w:val="en-US"/>
              </w:rPr>
              <w:t>282</w:t>
            </w:r>
            <w:r w:rsidRPr="00FA5819">
              <w:rPr>
                <w:bCs/>
                <w:sz w:val="22"/>
                <w:szCs w:val="22"/>
                <w:vertAlign w:val="superscript"/>
                <w:lang w:val="en-US"/>
              </w:rPr>
              <w:t>a</w:t>
            </w:r>
          </w:p>
        </w:tc>
        <w:tc>
          <w:tcPr>
            <w:tcW w:w="431" w:type="pct"/>
            <w:tcBorders>
              <w:top w:val="nil"/>
            </w:tcBorders>
          </w:tcPr>
          <w:p w14:paraId="631753B2" w14:textId="12CF2EAC" w:rsidR="00E156FC" w:rsidRPr="00FA5819" w:rsidRDefault="00E156FC" w:rsidP="00F47F12">
            <w:pPr>
              <w:spacing w:line="240" w:lineRule="auto"/>
              <w:jc w:val="center"/>
              <w:rPr>
                <w:bCs/>
                <w:sz w:val="22"/>
                <w:szCs w:val="22"/>
                <w:lang w:val="en-US"/>
              </w:rPr>
            </w:pPr>
            <w:r w:rsidRPr="00FA5819">
              <w:rPr>
                <w:bCs/>
                <w:sz w:val="22"/>
                <w:szCs w:val="22"/>
                <w:lang w:val="en-US"/>
              </w:rPr>
              <w:t>27</w:t>
            </w:r>
            <w:r w:rsidR="00211503">
              <w:rPr>
                <w:bCs/>
                <w:sz w:val="22"/>
                <w:szCs w:val="22"/>
                <w:lang w:val="en-US"/>
              </w:rPr>
              <w:t>1</w:t>
            </w:r>
            <w:r w:rsidRPr="00FA5819">
              <w:rPr>
                <w:bCs/>
                <w:sz w:val="22"/>
                <w:szCs w:val="22"/>
                <w:vertAlign w:val="superscript"/>
                <w:lang w:val="en-US"/>
              </w:rPr>
              <w:t>ab</w:t>
            </w:r>
          </w:p>
        </w:tc>
        <w:tc>
          <w:tcPr>
            <w:tcW w:w="431" w:type="pct"/>
            <w:tcBorders>
              <w:top w:val="nil"/>
            </w:tcBorders>
          </w:tcPr>
          <w:p w14:paraId="10F2B36D" w14:textId="2195EDFA" w:rsidR="00E156FC" w:rsidRPr="00FA5819" w:rsidRDefault="00E156FC" w:rsidP="00F47F12">
            <w:pPr>
              <w:spacing w:line="240" w:lineRule="auto"/>
              <w:jc w:val="center"/>
              <w:rPr>
                <w:bCs/>
                <w:sz w:val="22"/>
                <w:szCs w:val="22"/>
                <w:lang w:val="en-US"/>
              </w:rPr>
            </w:pPr>
            <w:r w:rsidRPr="00FA5819">
              <w:rPr>
                <w:bCs/>
                <w:sz w:val="22"/>
                <w:szCs w:val="22"/>
                <w:lang w:val="en-US"/>
              </w:rPr>
              <w:t>2</w:t>
            </w:r>
            <w:r w:rsidR="00211503">
              <w:rPr>
                <w:bCs/>
                <w:sz w:val="22"/>
                <w:szCs w:val="22"/>
                <w:lang w:val="en-US"/>
              </w:rPr>
              <w:t>70</w:t>
            </w:r>
            <w:r w:rsidRPr="00FA5819">
              <w:rPr>
                <w:bCs/>
                <w:sz w:val="22"/>
                <w:szCs w:val="22"/>
                <w:vertAlign w:val="superscript"/>
                <w:lang w:val="en-US"/>
              </w:rPr>
              <w:t>ab</w:t>
            </w:r>
          </w:p>
        </w:tc>
        <w:tc>
          <w:tcPr>
            <w:tcW w:w="464" w:type="pct"/>
            <w:tcBorders>
              <w:top w:val="nil"/>
            </w:tcBorders>
          </w:tcPr>
          <w:p w14:paraId="49DA1551" w14:textId="084E158C" w:rsidR="00E156FC" w:rsidRPr="00FA5819" w:rsidRDefault="00E156FC" w:rsidP="00F47F12">
            <w:pPr>
              <w:spacing w:line="240" w:lineRule="auto"/>
              <w:jc w:val="center"/>
              <w:rPr>
                <w:bCs/>
                <w:sz w:val="22"/>
                <w:szCs w:val="22"/>
                <w:lang w:val="en-US"/>
              </w:rPr>
            </w:pPr>
            <w:r w:rsidRPr="00FA5819">
              <w:rPr>
                <w:bCs/>
                <w:sz w:val="22"/>
                <w:szCs w:val="22"/>
                <w:lang w:val="en-US"/>
              </w:rPr>
              <w:t>26</w:t>
            </w:r>
            <w:r w:rsidR="00211503">
              <w:rPr>
                <w:bCs/>
                <w:sz w:val="22"/>
                <w:szCs w:val="22"/>
                <w:lang w:val="en-US"/>
              </w:rPr>
              <w:t>4</w:t>
            </w:r>
            <w:r w:rsidRPr="00FA5819">
              <w:rPr>
                <w:bCs/>
                <w:sz w:val="22"/>
                <w:szCs w:val="22"/>
                <w:vertAlign w:val="superscript"/>
                <w:lang w:val="en-US"/>
              </w:rPr>
              <w:t>b</w:t>
            </w:r>
          </w:p>
        </w:tc>
        <w:tc>
          <w:tcPr>
            <w:tcW w:w="457" w:type="pct"/>
            <w:tcBorders>
              <w:top w:val="nil"/>
            </w:tcBorders>
          </w:tcPr>
          <w:p w14:paraId="4E70B185" w14:textId="0DCBE73D" w:rsidR="00E156FC" w:rsidRPr="00FA5819" w:rsidRDefault="00E156FC" w:rsidP="00F47F12">
            <w:pPr>
              <w:spacing w:line="240" w:lineRule="auto"/>
              <w:jc w:val="center"/>
              <w:rPr>
                <w:bCs/>
                <w:sz w:val="22"/>
                <w:szCs w:val="22"/>
                <w:lang w:val="en-US"/>
              </w:rPr>
            </w:pPr>
            <w:r w:rsidRPr="00FA5819">
              <w:rPr>
                <w:bCs/>
                <w:sz w:val="22"/>
                <w:szCs w:val="22"/>
                <w:lang w:val="en-US"/>
              </w:rPr>
              <w:t>26</w:t>
            </w:r>
            <w:r w:rsidR="00211503">
              <w:rPr>
                <w:bCs/>
                <w:sz w:val="22"/>
                <w:szCs w:val="22"/>
                <w:lang w:val="en-US"/>
              </w:rPr>
              <w:t>4</w:t>
            </w:r>
            <w:r w:rsidRPr="00FA5819">
              <w:rPr>
                <w:bCs/>
                <w:sz w:val="22"/>
                <w:szCs w:val="22"/>
                <w:vertAlign w:val="superscript"/>
                <w:lang w:val="en-US"/>
              </w:rPr>
              <w:t>b</w:t>
            </w:r>
          </w:p>
        </w:tc>
        <w:tc>
          <w:tcPr>
            <w:tcW w:w="471" w:type="pct"/>
            <w:tcBorders>
              <w:top w:val="nil"/>
            </w:tcBorders>
          </w:tcPr>
          <w:p w14:paraId="54572723" w14:textId="7F6496E9" w:rsidR="00E156FC" w:rsidRPr="00FA5819" w:rsidRDefault="00E156FC" w:rsidP="00F47F12">
            <w:pPr>
              <w:spacing w:line="240" w:lineRule="auto"/>
              <w:jc w:val="center"/>
              <w:rPr>
                <w:bCs/>
                <w:sz w:val="22"/>
                <w:szCs w:val="22"/>
                <w:lang w:val="en-US"/>
              </w:rPr>
            </w:pPr>
            <w:r w:rsidRPr="00FA5819">
              <w:rPr>
                <w:bCs/>
                <w:sz w:val="22"/>
                <w:szCs w:val="22"/>
                <w:lang w:val="en-US"/>
              </w:rPr>
              <w:t>26</w:t>
            </w:r>
            <w:r w:rsidR="00211503">
              <w:rPr>
                <w:bCs/>
                <w:sz w:val="22"/>
                <w:szCs w:val="22"/>
                <w:lang w:val="en-US"/>
              </w:rPr>
              <w:t>7</w:t>
            </w:r>
            <w:r w:rsidRPr="00FA5819">
              <w:rPr>
                <w:bCs/>
                <w:sz w:val="22"/>
                <w:szCs w:val="22"/>
                <w:vertAlign w:val="superscript"/>
                <w:lang w:val="en-US"/>
              </w:rPr>
              <w:t>b</w:t>
            </w:r>
          </w:p>
        </w:tc>
        <w:tc>
          <w:tcPr>
            <w:tcW w:w="392" w:type="pct"/>
            <w:tcBorders>
              <w:top w:val="nil"/>
            </w:tcBorders>
            <w:vAlign w:val="center"/>
          </w:tcPr>
          <w:p w14:paraId="2E85522B" w14:textId="77777777" w:rsidR="00E156FC" w:rsidRPr="00FA5819" w:rsidRDefault="00E156FC" w:rsidP="00F47F12">
            <w:pPr>
              <w:spacing w:line="240" w:lineRule="auto"/>
              <w:jc w:val="center"/>
              <w:rPr>
                <w:bCs/>
                <w:sz w:val="22"/>
                <w:szCs w:val="22"/>
                <w:lang w:val="en-US"/>
              </w:rPr>
            </w:pPr>
            <w:r w:rsidRPr="00FA5819">
              <w:rPr>
                <w:bCs/>
                <w:sz w:val="22"/>
                <w:szCs w:val="22"/>
                <w:lang w:val="en-US"/>
              </w:rPr>
              <w:t>8.27</w:t>
            </w:r>
          </w:p>
        </w:tc>
        <w:tc>
          <w:tcPr>
            <w:tcW w:w="529" w:type="pct"/>
            <w:tcBorders>
              <w:top w:val="nil"/>
            </w:tcBorders>
            <w:vAlign w:val="center"/>
          </w:tcPr>
          <w:p w14:paraId="4BADF70A" w14:textId="77777777" w:rsidR="00E156FC" w:rsidRPr="00FA5819" w:rsidRDefault="00E156FC" w:rsidP="00F47F12">
            <w:pPr>
              <w:spacing w:line="240" w:lineRule="auto"/>
              <w:jc w:val="center"/>
              <w:rPr>
                <w:bCs/>
                <w:sz w:val="22"/>
                <w:szCs w:val="22"/>
                <w:lang w:val="en-US"/>
              </w:rPr>
            </w:pPr>
            <w:r w:rsidRPr="00FA5819">
              <w:rPr>
                <w:bCs/>
                <w:sz w:val="22"/>
                <w:szCs w:val="22"/>
                <w:lang w:val="en-US"/>
              </w:rPr>
              <w:t>0.005</w:t>
            </w:r>
          </w:p>
        </w:tc>
      </w:tr>
      <w:tr w:rsidR="00E156FC" w:rsidRPr="00FA5819" w14:paraId="3E350E98" w14:textId="77777777" w:rsidTr="00212172">
        <w:tc>
          <w:tcPr>
            <w:tcW w:w="1304" w:type="pct"/>
          </w:tcPr>
          <w:p w14:paraId="34B994EA" w14:textId="77777777" w:rsidR="00E156FC" w:rsidRPr="00FA5819" w:rsidRDefault="00E156FC" w:rsidP="00F47F12">
            <w:pPr>
              <w:spacing w:line="240" w:lineRule="auto"/>
              <w:ind w:left="176"/>
              <w:rPr>
                <w:bCs/>
                <w:sz w:val="22"/>
                <w:szCs w:val="22"/>
                <w:lang w:val="en-US"/>
              </w:rPr>
            </w:pPr>
            <w:r w:rsidRPr="00FA5819">
              <w:rPr>
                <w:bCs/>
                <w:sz w:val="22"/>
                <w:szCs w:val="22"/>
                <w:lang w:val="en-US"/>
              </w:rPr>
              <w:t>mmol</w:t>
            </w:r>
          </w:p>
        </w:tc>
        <w:tc>
          <w:tcPr>
            <w:tcW w:w="522" w:type="pct"/>
          </w:tcPr>
          <w:p w14:paraId="4E92A4A8" w14:textId="77777777" w:rsidR="00E156FC" w:rsidRPr="00FA5819" w:rsidRDefault="00E156FC" w:rsidP="00F47F12">
            <w:pPr>
              <w:spacing w:line="240" w:lineRule="auto"/>
              <w:jc w:val="center"/>
              <w:rPr>
                <w:bCs/>
                <w:sz w:val="22"/>
                <w:szCs w:val="22"/>
                <w:lang w:val="en-US"/>
              </w:rPr>
            </w:pPr>
            <w:r w:rsidRPr="00FA5819">
              <w:rPr>
                <w:bCs/>
                <w:sz w:val="22"/>
                <w:szCs w:val="22"/>
                <w:lang w:val="en-US"/>
              </w:rPr>
              <w:t>6.31</w:t>
            </w:r>
            <w:r w:rsidRPr="00FA5819">
              <w:rPr>
                <w:bCs/>
                <w:sz w:val="22"/>
                <w:szCs w:val="22"/>
                <w:vertAlign w:val="superscript"/>
                <w:lang w:val="en-US"/>
              </w:rPr>
              <w:t>a</w:t>
            </w:r>
          </w:p>
        </w:tc>
        <w:tc>
          <w:tcPr>
            <w:tcW w:w="431" w:type="pct"/>
          </w:tcPr>
          <w:p w14:paraId="6AC39E17" w14:textId="77777777" w:rsidR="00E156FC" w:rsidRPr="00FA5819" w:rsidRDefault="00E156FC" w:rsidP="00F47F12">
            <w:pPr>
              <w:spacing w:line="240" w:lineRule="auto"/>
              <w:jc w:val="center"/>
              <w:rPr>
                <w:bCs/>
                <w:sz w:val="22"/>
                <w:szCs w:val="22"/>
                <w:lang w:val="en-US"/>
              </w:rPr>
            </w:pPr>
            <w:r w:rsidRPr="00FA5819">
              <w:rPr>
                <w:bCs/>
                <w:sz w:val="22"/>
                <w:szCs w:val="22"/>
                <w:lang w:val="en-US"/>
              </w:rPr>
              <w:t>6.04</w:t>
            </w:r>
            <w:r w:rsidRPr="00FA5819">
              <w:rPr>
                <w:bCs/>
                <w:sz w:val="22"/>
                <w:szCs w:val="22"/>
                <w:vertAlign w:val="superscript"/>
                <w:lang w:val="en-US"/>
              </w:rPr>
              <w:t>ab</w:t>
            </w:r>
          </w:p>
        </w:tc>
        <w:tc>
          <w:tcPr>
            <w:tcW w:w="431" w:type="pct"/>
          </w:tcPr>
          <w:p w14:paraId="6D94C91F" w14:textId="77777777" w:rsidR="00E156FC" w:rsidRPr="00FA5819" w:rsidRDefault="00E156FC" w:rsidP="00F47F12">
            <w:pPr>
              <w:spacing w:line="240" w:lineRule="auto"/>
              <w:jc w:val="center"/>
              <w:rPr>
                <w:bCs/>
                <w:sz w:val="22"/>
                <w:szCs w:val="22"/>
                <w:lang w:val="en-US"/>
              </w:rPr>
            </w:pPr>
            <w:r w:rsidRPr="00FA5819">
              <w:rPr>
                <w:bCs/>
                <w:sz w:val="22"/>
                <w:szCs w:val="22"/>
                <w:lang w:val="en-US"/>
              </w:rPr>
              <w:t>6.03</w:t>
            </w:r>
            <w:r w:rsidRPr="00FA5819">
              <w:rPr>
                <w:bCs/>
                <w:sz w:val="22"/>
                <w:szCs w:val="22"/>
                <w:vertAlign w:val="superscript"/>
                <w:lang w:val="en-US"/>
              </w:rPr>
              <w:t>ab</w:t>
            </w:r>
          </w:p>
        </w:tc>
        <w:tc>
          <w:tcPr>
            <w:tcW w:w="464" w:type="pct"/>
          </w:tcPr>
          <w:p w14:paraId="7FF49242" w14:textId="77777777" w:rsidR="00E156FC" w:rsidRPr="00FA5819" w:rsidRDefault="00E156FC" w:rsidP="00F47F12">
            <w:pPr>
              <w:spacing w:line="240" w:lineRule="auto"/>
              <w:jc w:val="center"/>
              <w:rPr>
                <w:bCs/>
                <w:sz w:val="22"/>
                <w:szCs w:val="22"/>
                <w:lang w:val="en-US"/>
              </w:rPr>
            </w:pPr>
            <w:r w:rsidRPr="00FA5819">
              <w:rPr>
                <w:bCs/>
                <w:sz w:val="22"/>
                <w:szCs w:val="22"/>
                <w:lang w:val="en-US"/>
              </w:rPr>
              <w:t>5.89</w:t>
            </w:r>
            <w:r w:rsidRPr="00FA5819">
              <w:rPr>
                <w:bCs/>
                <w:sz w:val="22"/>
                <w:szCs w:val="22"/>
                <w:vertAlign w:val="superscript"/>
                <w:lang w:val="en-US"/>
              </w:rPr>
              <w:t>b</w:t>
            </w:r>
          </w:p>
        </w:tc>
        <w:tc>
          <w:tcPr>
            <w:tcW w:w="457" w:type="pct"/>
          </w:tcPr>
          <w:p w14:paraId="649BF2AC" w14:textId="77777777" w:rsidR="00E156FC" w:rsidRPr="00FA5819" w:rsidRDefault="00E156FC" w:rsidP="00F47F12">
            <w:pPr>
              <w:spacing w:line="240" w:lineRule="auto"/>
              <w:jc w:val="center"/>
              <w:rPr>
                <w:bCs/>
                <w:sz w:val="22"/>
                <w:szCs w:val="22"/>
                <w:lang w:val="en-US"/>
              </w:rPr>
            </w:pPr>
            <w:r w:rsidRPr="00FA5819">
              <w:rPr>
                <w:bCs/>
                <w:sz w:val="22"/>
                <w:szCs w:val="22"/>
                <w:lang w:val="en-US"/>
              </w:rPr>
              <w:t>5.89</w:t>
            </w:r>
            <w:r w:rsidRPr="00FA5819">
              <w:rPr>
                <w:bCs/>
                <w:sz w:val="22"/>
                <w:szCs w:val="22"/>
                <w:vertAlign w:val="superscript"/>
                <w:lang w:val="en-US"/>
              </w:rPr>
              <w:t>b</w:t>
            </w:r>
          </w:p>
        </w:tc>
        <w:tc>
          <w:tcPr>
            <w:tcW w:w="471" w:type="pct"/>
          </w:tcPr>
          <w:p w14:paraId="4DB9A4B3" w14:textId="77777777" w:rsidR="00E156FC" w:rsidRPr="00FA5819" w:rsidRDefault="00E156FC" w:rsidP="00F47F12">
            <w:pPr>
              <w:spacing w:line="240" w:lineRule="auto"/>
              <w:jc w:val="center"/>
              <w:rPr>
                <w:bCs/>
                <w:sz w:val="22"/>
                <w:szCs w:val="22"/>
                <w:lang w:val="en-US"/>
              </w:rPr>
            </w:pPr>
            <w:r w:rsidRPr="00FA5819">
              <w:rPr>
                <w:bCs/>
                <w:sz w:val="22"/>
                <w:szCs w:val="22"/>
                <w:lang w:val="en-US"/>
              </w:rPr>
              <w:t>5.95</w:t>
            </w:r>
            <w:r w:rsidRPr="00FA5819">
              <w:rPr>
                <w:bCs/>
                <w:sz w:val="22"/>
                <w:szCs w:val="22"/>
                <w:vertAlign w:val="superscript"/>
                <w:lang w:val="en-US"/>
              </w:rPr>
              <w:t>b</w:t>
            </w:r>
          </w:p>
        </w:tc>
        <w:tc>
          <w:tcPr>
            <w:tcW w:w="392" w:type="pct"/>
            <w:vAlign w:val="center"/>
          </w:tcPr>
          <w:p w14:paraId="65F0364D" w14:textId="77777777" w:rsidR="00E156FC" w:rsidRPr="00FA5819" w:rsidRDefault="00E156FC" w:rsidP="00F47F12">
            <w:pPr>
              <w:spacing w:line="240" w:lineRule="auto"/>
              <w:jc w:val="center"/>
              <w:rPr>
                <w:bCs/>
                <w:sz w:val="22"/>
                <w:szCs w:val="22"/>
                <w:lang w:val="en-US"/>
              </w:rPr>
            </w:pPr>
            <w:r w:rsidRPr="00FA5819">
              <w:rPr>
                <w:bCs/>
                <w:sz w:val="22"/>
                <w:szCs w:val="22"/>
                <w:lang w:val="en-US"/>
              </w:rPr>
              <w:t>0.19</w:t>
            </w:r>
          </w:p>
        </w:tc>
        <w:tc>
          <w:tcPr>
            <w:tcW w:w="529" w:type="pct"/>
            <w:vAlign w:val="center"/>
          </w:tcPr>
          <w:p w14:paraId="4B60088E" w14:textId="77777777" w:rsidR="00E156FC" w:rsidRPr="00FA5819" w:rsidRDefault="00E156FC" w:rsidP="00F47F12">
            <w:pPr>
              <w:spacing w:line="240" w:lineRule="auto"/>
              <w:jc w:val="center"/>
              <w:rPr>
                <w:bCs/>
                <w:sz w:val="22"/>
                <w:szCs w:val="22"/>
                <w:lang w:val="en-US"/>
              </w:rPr>
            </w:pPr>
            <w:r w:rsidRPr="00FA5819">
              <w:rPr>
                <w:bCs/>
                <w:sz w:val="22"/>
                <w:szCs w:val="22"/>
                <w:lang w:val="en-US"/>
              </w:rPr>
              <w:t>0.004</w:t>
            </w:r>
          </w:p>
        </w:tc>
      </w:tr>
      <w:tr w:rsidR="00E156FC" w:rsidRPr="00FA5819" w14:paraId="32F4E512" w14:textId="77777777" w:rsidTr="00212172">
        <w:tc>
          <w:tcPr>
            <w:tcW w:w="1304" w:type="pct"/>
          </w:tcPr>
          <w:p w14:paraId="147DC359" w14:textId="77777777" w:rsidR="00E156FC" w:rsidRPr="00FA5819" w:rsidRDefault="00E156FC" w:rsidP="00F47F12">
            <w:pPr>
              <w:spacing w:line="240" w:lineRule="auto"/>
              <w:ind w:left="176"/>
              <w:rPr>
                <w:bCs/>
                <w:sz w:val="22"/>
                <w:szCs w:val="22"/>
                <w:lang w:val="en-US"/>
              </w:rPr>
            </w:pPr>
            <w:r w:rsidRPr="00FA5819">
              <w:rPr>
                <w:bCs/>
                <w:sz w:val="22"/>
                <w:szCs w:val="22"/>
                <w:lang w:val="en-US"/>
              </w:rPr>
              <w:t>mmol/g DM</w:t>
            </w:r>
          </w:p>
        </w:tc>
        <w:tc>
          <w:tcPr>
            <w:tcW w:w="522" w:type="pct"/>
          </w:tcPr>
          <w:p w14:paraId="37BBF6EA" w14:textId="50FE67CC" w:rsidR="00E156FC" w:rsidRPr="00FA5819" w:rsidRDefault="00E156FC" w:rsidP="00F47F12">
            <w:pPr>
              <w:spacing w:line="240" w:lineRule="auto"/>
              <w:jc w:val="center"/>
              <w:rPr>
                <w:bCs/>
                <w:sz w:val="22"/>
                <w:szCs w:val="22"/>
                <w:lang w:val="en-US"/>
              </w:rPr>
            </w:pPr>
            <w:r w:rsidRPr="00FA5819">
              <w:rPr>
                <w:bCs/>
                <w:sz w:val="22"/>
                <w:szCs w:val="22"/>
                <w:lang w:val="en-US"/>
              </w:rPr>
              <w:t>12.6</w:t>
            </w:r>
            <w:r w:rsidRPr="00FA5819">
              <w:rPr>
                <w:bCs/>
                <w:sz w:val="22"/>
                <w:szCs w:val="22"/>
                <w:vertAlign w:val="superscript"/>
                <w:lang w:val="en-US"/>
              </w:rPr>
              <w:t>a</w:t>
            </w:r>
          </w:p>
        </w:tc>
        <w:tc>
          <w:tcPr>
            <w:tcW w:w="431" w:type="pct"/>
          </w:tcPr>
          <w:p w14:paraId="40FC30B8" w14:textId="0403D6E5" w:rsidR="00E156FC" w:rsidRPr="00FA5819" w:rsidRDefault="00E156FC" w:rsidP="00F47F12">
            <w:pPr>
              <w:spacing w:line="240" w:lineRule="auto"/>
              <w:jc w:val="center"/>
              <w:rPr>
                <w:bCs/>
                <w:sz w:val="22"/>
                <w:szCs w:val="22"/>
                <w:lang w:val="en-US"/>
              </w:rPr>
            </w:pPr>
            <w:r w:rsidRPr="00FA5819">
              <w:rPr>
                <w:bCs/>
                <w:sz w:val="22"/>
                <w:szCs w:val="22"/>
                <w:lang w:val="en-US"/>
              </w:rPr>
              <w:t>12.</w:t>
            </w:r>
            <w:r w:rsidR="00211503">
              <w:rPr>
                <w:bCs/>
                <w:sz w:val="22"/>
                <w:szCs w:val="22"/>
                <w:lang w:val="en-US"/>
              </w:rPr>
              <w:t>1</w:t>
            </w:r>
            <w:r w:rsidRPr="00FA5819">
              <w:rPr>
                <w:bCs/>
                <w:sz w:val="22"/>
                <w:szCs w:val="22"/>
                <w:vertAlign w:val="superscript"/>
                <w:lang w:val="en-US"/>
              </w:rPr>
              <w:t>ab</w:t>
            </w:r>
          </w:p>
        </w:tc>
        <w:tc>
          <w:tcPr>
            <w:tcW w:w="431" w:type="pct"/>
          </w:tcPr>
          <w:p w14:paraId="25E5E826" w14:textId="3BDC562E" w:rsidR="00E156FC" w:rsidRPr="00FA5819" w:rsidRDefault="00E156FC" w:rsidP="00F47F12">
            <w:pPr>
              <w:spacing w:line="240" w:lineRule="auto"/>
              <w:jc w:val="center"/>
              <w:rPr>
                <w:bCs/>
                <w:sz w:val="22"/>
                <w:szCs w:val="22"/>
                <w:lang w:val="en-US"/>
              </w:rPr>
            </w:pPr>
            <w:r w:rsidRPr="00FA5819">
              <w:rPr>
                <w:bCs/>
                <w:sz w:val="22"/>
                <w:szCs w:val="22"/>
                <w:lang w:val="en-US"/>
              </w:rPr>
              <w:t>12.</w:t>
            </w:r>
            <w:r w:rsidR="00211503">
              <w:rPr>
                <w:bCs/>
                <w:sz w:val="22"/>
                <w:szCs w:val="22"/>
                <w:lang w:val="en-US"/>
              </w:rPr>
              <w:t>1</w:t>
            </w:r>
            <w:r w:rsidRPr="00FA5819">
              <w:rPr>
                <w:bCs/>
                <w:sz w:val="22"/>
                <w:szCs w:val="22"/>
                <w:vertAlign w:val="superscript"/>
                <w:lang w:val="en-US"/>
              </w:rPr>
              <w:t>ab</w:t>
            </w:r>
          </w:p>
        </w:tc>
        <w:tc>
          <w:tcPr>
            <w:tcW w:w="464" w:type="pct"/>
          </w:tcPr>
          <w:p w14:paraId="0007C377" w14:textId="0EE30971" w:rsidR="00E156FC" w:rsidRPr="00FA5819" w:rsidRDefault="00E156FC" w:rsidP="00F47F12">
            <w:pPr>
              <w:spacing w:line="240" w:lineRule="auto"/>
              <w:jc w:val="center"/>
              <w:rPr>
                <w:bCs/>
                <w:sz w:val="22"/>
                <w:szCs w:val="22"/>
                <w:lang w:val="en-US"/>
              </w:rPr>
            </w:pPr>
            <w:r w:rsidRPr="00FA5819">
              <w:rPr>
                <w:bCs/>
                <w:sz w:val="22"/>
                <w:szCs w:val="22"/>
                <w:lang w:val="en-US"/>
              </w:rPr>
              <w:t>11.8</w:t>
            </w:r>
            <w:r w:rsidRPr="00FA5819">
              <w:rPr>
                <w:bCs/>
                <w:sz w:val="22"/>
                <w:szCs w:val="22"/>
                <w:vertAlign w:val="superscript"/>
                <w:lang w:val="en-US"/>
              </w:rPr>
              <w:t>b</w:t>
            </w:r>
          </w:p>
        </w:tc>
        <w:tc>
          <w:tcPr>
            <w:tcW w:w="457" w:type="pct"/>
          </w:tcPr>
          <w:p w14:paraId="44E24E8C" w14:textId="7167353A" w:rsidR="00E156FC" w:rsidRPr="00FA5819" w:rsidRDefault="00E156FC" w:rsidP="00F47F12">
            <w:pPr>
              <w:spacing w:line="240" w:lineRule="auto"/>
              <w:jc w:val="center"/>
              <w:rPr>
                <w:bCs/>
                <w:sz w:val="22"/>
                <w:szCs w:val="22"/>
                <w:lang w:val="en-US"/>
              </w:rPr>
            </w:pPr>
            <w:r w:rsidRPr="00FA5819">
              <w:rPr>
                <w:bCs/>
                <w:sz w:val="22"/>
                <w:szCs w:val="22"/>
                <w:lang w:val="en-US"/>
              </w:rPr>
              <w:t>11.</w:t>
            </w:r>
            <w:r w:rsidR="00211503">
              <w:rPr>
                <w:bCs/>
                <w:sz w:val="22"/>
                <w:szCs w:val="22"/>
                <w:lang w:val="en-US"/>
              </w:rPr>
              <w:t>8</w:t>
            </w:r>
            <w:r w:rsidRPr="00FA5819">
              <w:rPr>
                <w:bCs/>
                <w:sz w:val="22"/>
                <w:szCs w:val="22"/>
                <w:vertAlign w:val="superscript"/>
                <w:lang w:val="en-US"/>
              </w:rPr>
              <w:t>b</w:t>
            </w:r>
          </w:p>
        </w:tc>
        <w:tc>
          <w:tcPr>
            <w:tcW w:w="471" w:type="pct"/>
          </w:tcPr>
          <w:p w14:paraId="38EC320B" w14:textId="1F71EC48" w:rsidR="00E156FC" w:rsidRPr="00FA5819" w:rsidRDefault="00E156FC" w:rsidP="00F47F12">
            <w:pPr>
              <w:spacing w:line="240" w:lineRule="auto"/>
              <w:jc w:val="center"/>
              <w:rPr>
                <w:bCs/>
                <w:sz w:val="22"/>
                <w:szCs w:val="22"/>
                <w:lang w:val="en-US"/>
              </w:rPr>
            </w:pPr>
            <w:r w:rsidRPr="00FA5819">
              <w:rPr>
                <w:bCs/>
                <w:sz w:val="22"/>
                <w:szCs w:val="22"/>
                <w:lang w:val="en-US"/>
              </w:rPr>
              <w:t>11.9</w:t>
            </w:r>
            <w:r w:rsidRPr="00FA5819">
              <w:rPr>
                <w:bCs/>
                <w:sz w:val="22"/>
                <w:szCs w:val="22"/>
                <w:vertAlign w:val="superscript"/>
                <w:lang w:val="en-US"/>
              </w:rPr>
              <w:t>b</w:t>
            </w:r>
          </w:p>
        </w:tc>
        <w:tc>
          <w:tcPr>
            <w:tcW w:w="392" w:type="pct"/>
            <w:vAlign w:val="center"/>
          </w:tcPr>
          <w:p w14:paraId="5848A7A9" w14:textId="77777777" w:rsidR="00E156FC" w:rsidRPr="00FA5819" w:rsidRDefault="00E156FC" w:rsidP="00F47F12">
            <w:pPr>
              <w:spacing w:line="240" w:lineRule="auto"/>
              <w:jc w:val="center"/>
              <w:rPr>
                <w:bCs/>
                <w:sz w:val="22"/>
                <w:szCs w:val="22"/>
                <w:lang w:val="en-US"/>
              </w:rPr>
            </w:pPr>
            <w:r w:rsidRPr="00FA5819">
              <w:rPr>
                <w:bCs/>
                <w:sz w:val="22"/>
                <w:szCs w:val="22"/>
                <w:lang w:val="en-US"/>
              </w:rPr>
              <w:t>0.37</w:t>
            </w:r>
          </w:p>
        </w:tc>
        <w:tc>
          <w:tcPr>
            <w:tcW w:w="529" w:type="pct"/>
            <w:vAlign w:val="center"/>
          </w:tcPr>
          <w:p w14:paraId="7654EC29" w14:textId="77777777" w:rsidR="00E156FC" w:rsidRPr="00FA5819" w:rsidRDefault="00E156FC" w:rsidP="00F47F12">
            <w:pPr>
              <w:spacing w:line="240" w:lineRule="auto"/>
              <w:jc w:val="center"/>
              <w:rPr>
                <w:bCs/>
                <w:sz w:val="22"/>
                <w:szCs w:val="22"/>
                <w:lang w:val="en-US"/>
              </w:rPr>
            </w:pPr>
            <w:r w:rsidRPr="00FA5819">
              <w:rPr>
                <w:bCs/>
                <w:sz w:val="22"/>
                <w:szCs w:val="22"/>
                <w:lang w:val="en-US"/>
              </w:rPr>
              <w:t>0.005</w:t>
            </w:r>
          </w:p>
        </w:tc>
      </w:tr>
      <w:tr w:rsidR="00E156FC" w:rsidRPr="00FA5819" w14:paraId="5C9D8A4D" w14:textId="77777777" w:rsidTr="00212172">
        <w:tc>
          <w:tcPr>
            <w:tcW w:w="1304" w:type="pct"/>
          </w:tcPr>
          <w:p w14:paraId="7804A6E6" w14:textId="77777777" w:rsidR="00E156FC" w:rsidRPr="00FA5819" w:rsidRDefault="00E156FC" w:rsidP="00F47F12">
            <w:pPr>
              <w:spacing w:line="240" w:lineRule="auto"/>
              <w:rPr>
                <w:bCs/>
                <w:sz w:val="22"/>
                <w:szCs w:val="22"/>
                <w:lang w:val="en-US"/>
              </w:rPr>
            </w:pPr>
            <w:r w:rsidRPr="00FA5819">
              <w:rPr>
                <w:bCs/>
                <w:sz w:val="22"/>
                <w:szCs w:val="22"/>
                <w:lang w:val="en-US"/>
              </w:rPr>
              <w:t>Methane</w:t>
            </w:r>
          </w:p>
        </w:tc>
        <w:tc>
          <w:tcPr>
            <w:tcW w:w="522" w:type="pct"/>
          </w:tcPr>
          <w:p w14:paraId="6583AAB5" w14:textId="77777777" w:rsidR="00E156FC" w:rsidRPr="00FA5819" w:rsidRDefault="00E156FC" w:rsidP="00F47F12">
            <w:pPr>
              <w:spacing w:line="240" w:lineRule="auto"/>
              <w:jc w:val="center"/>
              <w:rPr>
                <w:bCs/>
                <w:sz w:val="22"/>
                <w:szCs w:val="22"/>
                <w:lang w:val="en-US"/>
              </w:rPr>
            </w:pPr>
          </w:p>
        </w:tc>
        <w:tc>
          <w:tcPr>
            <w:tcW w:w="431" w:type="pct"/>
          </w:tcPr>
          <w:p w14:paraId="0738C3FD" w14:textId="77777777" w:rsidR="00E156FC" w:rsidRPr="00FA5819" w:rsidRDefault="00E156FC" w:rsidP="00F47F12">
            <w:pPr>
              <w:spacing w:line="240" w:lineRule="auto"/>
              <w:jc w:val="center"/>
              <w:rPr>
                <w:bCs/>
                <w:sz w:val="22"/>
                <w:szCs w:val="22"/>
                <w:lang w:val="en-US"/>
              </w:rPr>
            </w:pPr>
          </w:p>
        </w:tc>
        <w:tc>
          <w:tcPr>
            <w:tcW w:w="431" w:type="pct"/>
          </w:tcPr>
          <w:p w14:paraId="27C37968" w14:textId="77777777" w:rsidR="00E156FC" w:rsidRPr="00FA5819" w:rsidRDefault="00E156FC" w:rsidP="00F47F12">
            <w:pPr>
              <w:spacing w:line="240" w:lineRule="auto"/>
              <w:jc w:val="center"/>
              <w:rPr>
                <w:bCs/>
                <w:sz w:val="22"/>
                <w:szCs w:val="22"/>
                <w:lang w:val="en-US"/>
              </w:rPr>
            </w:pPr>
          </w:p>
        </w:tc>
        <w:tc>
          <w:tcPr>
            <w:tcW w:w="464" w:type="pct"/>
          </w:tcPr>
          <w:p w14:paraId="111562FA" w14:textId="77777777" w:rsidR="00E156FC" w:rsidRPr="00FA5819" w:rsidRDefault="00E156FC" w:rsidP="00F47F12">
            <w:pPr>
              <w:spacing w:line="240" w:lineRule="auto"/>
              <w:jc w:val="center"/>
              <w:rPr>
                <w:bCs/>
                <w:sz w:val="22"/>
                <w:szCs w:val="22"/>
                <w:lang w:val="en-US"/>
              </w:rPr>
            </w:pPr>
          </w:p>
        </w:tc>
        <w:tc>
          <w:tcPr>
            <w:tcW w:w="457" w:type="pct"/>
          </w:tcPr>
          <w:p w14:paraId="7C82BC46" w14:textId="77777777" w:rsidR="00E156FC" w:rsidRPr="00FA5819" w:rsidRDefault="00E156FC" w:rsidP="00F47F12">
            <w:pPr>
              <w:spacing w:line="240" w:lineRule="auto"/>
              <w:jc w:val="center"/>
              <w:rPr>
                <w:bCs/>
                <w:sz w:val="22"/>
                <w:szCs w:val="22"/>
                <w:lang w:val="en-US"/>
              </w:rPr>
            </w:pPr>
          </w:p>
        </w:tc>
        <w:tc>
          <w:tcPr>
            <w:tcW w:w="471" w:type="pct"/>
          </w:tcPr>
          <w:p w14:paraId="3E7DD71F" w14:textId="77777777" w:rsidR="00E156FC" w:rsidRPr="00FA5819" w:rsidRDefault="00E156FC" w:rsidP="00F47F12">
            <w:pPr>
              <w:spacing w:line="240" w:lineRule="auto"/>
              <w:jc w:val="center"/>
              <w:rPr>
                <w:bCs/>
                <w:sz w:val="22"/>
                <w:szCs w:val="22"/>
                <w:lang w:val="en-US"/>
              </w:rPr>
            </w:pPr>
          </w:p>
        </w:tc>
        <w:tc>
          <w:tcPr>
            <w:tcW w:w="392" w:type="pct"/>
          </w:tcPr>
          <w:p w14:paraId="7CB28651" w14:textId="77777777" w:rsidR="00E156FC" w:rsidRPr="00FA5819" w:rsidRDefault="00E156FC" w:rsidP="00F47F12">
            <w:pPr>
              <w:spacing w:line="240" w:lineRule="auto"/>
              <w:jc w:val="center"/>
              <w:rPr>
                <w:bCs/>
                <w:sz w:val="22"/>
                <w:szCs w:val="22"/>
                <w:lang w:val="en-US"/>
              </w:rPr>
            </w:pPr>
          </w:p>
        </w:tc>
        <w:tc>
          <w:tcPr>
            <w:tcW w:w="529" w:type="pct"/>
          </w:tcPr>
          <w:p w14:paraId="67D7CB42" w14:textId="77777777" w:rsidR="00E156FC" w:rsidRPr="00FA5819" w:rsidRDefault="00E156FC" w:rsidP="00F47F12">
            <w:pPr>
              <w:spacing w:line="240" w:lineRule="auto"/>
              <w:jc w:val="center"/>
              <w:rPr>
                <w:bCs/>
                <w:sz w:val="22"/>
                <w:szCs w:val="22"/>
                <w:lang w:val="en-US"/>
              </w:rPr>
            </w:pPr>
          </w:p>
        </w:tc>
      </w:tr>
      <w:tr w:rsidR="00E156FC" w:rsidRPr="00FA5819" w14:paraId="69E874AA" w14:textId="77777777" w:rsidTr="00212172">
        <w:tc>
          <w:tcPr>
            <w:tcW w:w="1304" w:type="pct"/>
          </w:tcPr>
          <w:p w14:paraId="22CF9852" w14:textId="77777777" w:rsidR="00E156FC" w:rsidRPr="00FA5819" w:rsidRDefault="00E156FC" w:rsidP="00F47F12">
            <w:pPr>
              <w:spacing w:line="240" w:lineRule="auto"/>
              <w:ind w:left="176"/>
              <w:rPr>
                <w:bCs/>
                <w:sz w:val="22"/>
                <w:szCs w:val="22"/>
                <w:lang w:val="en-US"/>
              </w:rPr>
            </w:pPr>
            <w:r w:rsidRPr="00FA5819">
              <w:rPr>
                <w:bCs/>
                <w:sz w:val="22"/>
                <w:szCs w:val="22"/>
                <w:lang w:val="en-US"/>
              </w:rPr>
              <w:t>mmol</w:t>
            </w:r>
          </w:p>
        </w:tc>
        <w:tc>
          <w:tcPr>
            <w:tcW w:w="522" w:type="pct"/>
          </w:tcPr>
          <w:p w14:paraId="11134E4B" w14:textId="77777777" w:rsidR="00E156FC" w:rsidRPr="00FA5819" w:rsidRDefault="00E156FC" w:rsidP="00F47F12">
            <w:pPr>
              <w:spacing w:line="240" w:lineRule="auto"/>
              <w:jc w:val="center"/>
              <w:rPr>
                <w:bCs/>
                <w:sz w:val="22"/>
                <w:szCs w:val="22"/>
                <w:lang w:val="en-US"/>
              </w:rPr>
            </w:pPr>
            <w:r w:rsidRPr="00FA5819">
              <w:rPr>
                <w:bCs/>
                <w:sz w:val="22"/>
                <w:szCs w:val="22"/>
                <w:lang w:val="en-US"/>
              </w:rPr>
              <w:t>0.74</w:t>
            </w:r>
            <w:r w:rsidRPr="00FA5819">
              <w:rPr>
                <w:bCs/>
                <w:sz w:val="22"/>
                <w:szCs w:val="22"/>
                <w:vertAlign w:val="superscript"/>
                <w:lang w:val="en-US"/>
              </w:rPr>
              <w:t>a</w:t>
            </w:r>
          </w:p>
        </w:tc>
        <w:tc>
          <w:tcPr>
            <w:tcW w:w="431" w:type="pct"/>
          </w:tcPr>
          <w:p w14:paraId="2CAF582E" w14:textId="77777777" w:rsidR="00E156FC" w:rsidRPr="00FA5819" w:rsidRDefault="00E156FC" w:rsidP="00F47F12">
            <w:pPr>
              <w:spacing w:line="240" w:lineRule="auto"/>
              <w:jc w:val="center"/>
              <w:rPr>
                <w:bCs/>
                <w:sz w:val="22"/>
                <w:szCs w:val="22"/>
                <w:lang w:val="en-US"/>
              </w:rPr>
            </w:pPr>
            <w:r w:rsidRPr="00FA5819">
              <w:rPr>
                <w:bCs/>
                <w:sz w:val="22"/>
                <w:szCs w:val="22"/>
                <w:lang w:val="en-US"/>
              </w:rPr>
              <w:t>0.68</w:t>
            </w:r>
            <w:r w:rsidRPr="00FA5819">
              <w:rPr>
                <w:bCs/>
                <w:sz w:val="22"/>
                <w:szCs w:val="22"/>
                <w:vertAlign w:val="superscript"/>
                <w:lang w:val="en-US"/>
              </w:rPr>
              <w:t>ab</w:t>
            </w:r>
          </w:p>
        </w:tc>
        <w:tc>
          <w:tcPr>
            <w:tcW w:w="431" w:type="pct"/>
          </w:tcPr>
          <w:p w14:paraId="5DD6BABF" w14:textId="77777777" w:rsidR="00E156FC" w:rsidRPr="00FA5819" w:rsidRDefault="00E156FC" w:rsidP="00F47F12">
            <w:pPr>
              <w:spacing w:line="240" w:lineRule="auto"/>
              <w:jc w:val="center"/>
              <w:rPr>
                <w:bCs/>
                <w:sz w:val="22"/>
                <w:szCs w:val="22"/>
                <w:lang w:val="en-US"/>
              </w:rPr>
            </w:pPr>
            <w:r w:rsidRPr="00FA5819">
              <w:rPr>
                <w:bCs/>
                <w:sz w:val="22"/>
                <w:szCs w:val="22"/>
                <w:lang w:val="en-US"/>
              </w:rPr>
              <w:t>0.67</w:t>
            </w:r>
            <w:r w:rsidRPr="00FA5819">
              <w:rPr>
                <w:bCs/>
                <w:sz w:val="22"/>
                <w:szCs w:val="22"/>
                <w:vertAlign w:val="superscript"/>
                <w:lang w:val="en-US"/>
              </w:rPr>
              <w:t>ab</w:t>
            </w:r>
          </w:p>
        </w:tc>
        <w:tc>
          <w:tcPr>
            <w:tcW w:w="464" w:type="pct"/>
          </w:tcPr>
          <w:p w14:paraId="11C709A8" w14:textId="77777777" w:rsidR="00E156FC" w:rsidRPr="00FA5819" w:rsidRDefault="00E156FC" w:rsidP="00F47F12">
            <w:pPr>
              <w:spacing w:line="240" w:lineRule="auto"/>
              <w:jc w:val="center"/>
              <w:rPr>
                <w:bCs/>
                <w:sz w:val="22"/>
                <w:szCs w:val="22"/>
                <w:lang w:val="en-US"/>
              </w:rPr>
            </w:pPr>
            <w:r w:rsidRPr="00FA5819">
              <w:rPr>
                <w:bCs/>
                <w:sz w:val="22"/>
                <w:szCs w:val="22"/>
                <w:lang w:val="en-US"/>
              </w:rPr>
              <w:t>0.60</w:t>
            </w:r>
            <w:r w:rsidRPr="00FA5819">
              <w:rPr>
                <w:bCs/>
                <w:sz w:val="22"/>
                <w:szCs w:val="22"/>
                <w:vertAlign w:val="superscript"/>
                <w:lang w:val="en-US"/>
              </w:rPr>
              <w:t>ab</w:t>
            </w:r>
          </w:p>
        </w:tc>
        <w:tc>
          <w:tcPr>
            <w:tcW w:w="457" w:type="pct"/>
          </w:tcPr>
          <w:p w14:paraId="1BCA2476" w14:textId="77777777" w:rsidR="00E156FC" w:rsidRPr="00FA5819" w:rsidRDefault="00E156FC" w:rsidP="00F47F12">
            <w:pPr>
              <w:spacing w:line="240" w:lineRule="auto"/>
              <w:jc w:val="center"/>
              <w:rPr>
                <w:bCs/>
                <w:sz w:val="22"/>
                <w:szCs w:val="22"/>
                <w:lang w:val="en-US"/>
              </w:rPr>
            </w:pPr>
            <w:r w:rsidRPr="00FA5819">
              <w:rPr>
                <w:bCs/>
                <w:sz w:val="22"/>
                <w:szCs w:val="22"/>
                <w:lang w:val="en-US"/>
              </w:rPr>
              <w:t>0.54</w:t>
            </w:r>
            <w:r w:rsidRPr="00FA5819">
              <w:rPr>
                <w:bCs/>
                <w:sz w:val="22"/>
                <w:szCs w:val="22"/>
                <w:vertAlign w:val="superscript"/>
                <w:lang w:val="en-US"/>
              </w:rPr>
              <w:t>b</w:t>
            </w:r>
          </w:p>
        </w:tc>
        <w:tc>
          <w:tcPr>
            <w:tcW w:w="471" w:type="pct"/>
          </w:tcPr>
          <w:p w14:paraId="34E57FB6" w14:textId="77777777" w:rsidR="00E156FC" w:rsidRPr="00FA5819" w:rsidRDefault="00E156FC" w:rsidP="00F47F12">
            <w:pPr>
              <w:spacing w:line="240" w:lineRule="auto"/>
              <w:jc w:val="center"/>
              <w:rPr>
                <w:bCs/>
                <w:sz w:val="22"/>
                <w:szCs w:val="22"/>
                <w:lang w:val="en-US"/>
              </w:rPr>
            </w:pPr>
            <w:r w:rsidRPr="00FA5819">
              <w:rPr>
                <w:bCs/>
                <w:sz w:val="22"/>
                <w:szCs w:val="22"/>
                <w:lang w:val="en-US"/>
              </w:rPr>
              <w:t>0.63</w:t>
            </w:r>
            <w:r w:rsidRPr="00FA5819">
              <w:rPr>
                <w:bCs/>
                <w:sz w:val="22"/>
                <w:szCs w:val="22"/>
                <w:vertAlign w:val="superscript"/>
                <w:lang w:val="en-US"/>
              </w:rPr>
              <w:t>ab</w:t>
            </w:r>
          </w:p>
        </w:tc>
        <w:tc>
          <w:tcPr>
            <w:tcW w:w="392" w:type="pct"/>
          </w:tcPr>
          <w:p w14:paraId="63612F79" w14:textId="77777777" w:rsidR="00E156FC" w:rsidRPr="00FA5819" w:rsidRDefault="00E156FC" w:rsidP="00F47F12">
            <w:pPr>
              <w:spacing w:line="240" w:lineRule="auto"/>
              <w:jc w:val="center"/>
              <w:rPr>
                <w:bCs/>
                <w:sz w:val="22"/>
                <w:szCs w:val="22"/>
                <w:lang w:val="en-US"/>
              </w:rPr>
            </w:pPr>
            <w:r w:rsidRPr="00FA5819">
              <w:rPr>
                <w:bCs/>
                <w:sz w:val="22"/>
                <w:szCs w:val="22"/>
                <w:lang w:val="en-US"/>
              </w:rPr>
              <w:t>0.10</w:t>
            </w:r>
          </w:p>
        </w:tc>
        <w:tc>
          <w:tcPr>
            <w:tcW w:w="529" w:type="pct"/>
          </w:tcPr>
          <w:p w14:paraId="2267244D" w14:textId="77777777" w:rsidR="00E156FC" w:rsidRPr="00FA5819" w:rsidRDefault="00E156FC" w:rsidP="00F47F12">
            <w:pPr>
              <w:spacing w:line="240" w:lineRule="auto"/>
              <w:jc w:val="center"/>
              <w:rPr>
                <w:bCs/>
                <w:sz w:val="22"/>
                <w:szCs w:val="22"/>
                <w:lang w:val="en-US"/>
              </w:rPr>
            </w:pPr>
            <w:r w:rsidRPr="00FA5819">
              <w:rPr>
                <w:bCs/>
                <w:sz w:val="22"/>
                <w:szCs w:val="22"/>
                <w:lang w:val="en-US"/>
              </w:rPr>
              <w:t>0.009</w:t>
            </w:r>
          </w:p>
        </w:tc>
      </w:tr>
      <w:tr w:rsidR="00E156FC" w:rsidRPr="00FA5819" w14:paraId="3A3967FA" w14:textId="77777777" w:rsidTr="00212172">
        <w:tc>
          <w:tcPr>
            <w:tcW w:w="1304" w:type="pct"/>
          </w:tcPr>
          <w:p w14:paraId="15D07DAB" w14:textId="77777777" w:rsidR="00E156FC" w:rsidRPr="00FA5819" w:rsidRDefault="00E156FC" w:rsidP="00F47F12">
            <w:pPr>
              <w:spacing w:line="240" w:lineRule="auto"/>
              <w:ind w:left="176"/>
              <w:rPr>
                <w:bCs/>
                <w:sz w:val="22"/>
                <w:szCs w:val="22"/>
                <w:lang w:val="en-US"/>
              </w:rPr>
            </w:pPr>
            <w:r w:rsidRPr="00FA5819">
              <w:rPr>
                <w:bCs/>
                <w:sz w:val="22"/>
                <w:szCs w:val="22"/>
                <w:lang w:val="en-US"/>
              </w:rPr>
              <w:t>mmol/g DM</w:t>
            </w:r>
          </w:p>
        </w:tc>
        <w:tc>
          <w:tcPr>
            <w:tcW w:w="522" w:type="pct"/>
          </w:tcPr>
          <w:p w14:paraId="7A71CFC6" w14:textId="77777777" w:rsidR="00E156FC" w:rsidRPr="00FA5819" w:rsidRDefault="00E156FC" w:rsidP="00F47F12">
            <w:pPr>
              <w:spacing w:line="240" w:lineRule="auto"/>
              <w:jc w:val="center"/>
              <w:rPr>
                <w:bCs/>
                <w:sz w:val="22"/>
                <w:szCs w:val="22"/>
                <w:lang w:val="en-US"/>
              </w:rPr>
            </w:pPr>
            <w:r w:rsidRPr="00FA5819">
              <w:rPr>
                <w:bCs/>
                <w:sz w:val="22"/>
                <w:szCs w:val="22"/>
                <w:lang w:val="en-US"/>
              </w:rPr>
              <w:t>1.48</w:t>
            </w:r>
            <w:r w:rsidRPr="00FA5819">
              <w:rPr>
                <w:bCs/>
                <w:sz w:val="22"/>
                <w:szCs w:val="22"/>
                <w:vertAlign w:val="superscript"/>
                <w:lang w:val="en-US"/>
              </w:rPr>
              <w:t>a</w:t>
            </w:r>
          </w:p>
        </w:tc>
        <w:tc>
          <w:tcPr>
            <w:tcW w:w="431" w:type="pct"/>
          </w:tcPr>
          <w:p w14:paraId="7B3CEA25" w14:textId="77777777" w:rsidR="00E156FC" w:rsidRPr="00FA5819" w:rsidRDefault="00E156FC" w:rsidP="00F47F12">
            <w:pPr>
              <w:spacing w:line="240" w:lineRule="auto"/>
              <w:jc w:val="center"/>
              <w:rPr>
                <w:bCs/>
                <w:sz w:val="22"/>
                <w:szCs w:val="22"/>
                <w:lang w:val="en-US"/>
              </w:rPr>
            </w:pPr>
            <w:r w:rsidRPr="00FA5819">
              <w:rPr>
                <w:bCs/>
                <w:sz w:val="22"/>
                <w:szCs w:val="22"/>
                <w:lang w:val="en-US"/>
              </w:rPr>
              <w:t>1.35</w:t>
            </w:r>
            <w:r w:rsidRPr="00FA5819">
              <w:rPr>
                <w:bCs/>
                <w:sz w:val="22"/>
                <w:szCs w:val="22"/>
                <w:vertAlign w:val="superscript"/>
                <w:lang w:val="en-US"/>
              </w:rPr>
              <w:t>ab</w:t>
            </w:r>
          </w:p>
        </w:tc>
        <w:tc>
          <w:tcPr>
            <w:tcW w:w="431" w:type="pct"/>
          </w:tcPr>
          <w:p w14:paraId="6AEF7A29" w14:textId="77777777" w:rsidR="00E156FC" w:rsidRPr="00FA5819" w:rsidRDefault="00E156FC" w:rsidP="00F47F12">
            <w:pPr>
              <w:spacing w:line="240" w:lineRule="auto"/>
              <w:jc w:val="center"/>
              <w:rPr>
                <w:bCs/>
                <w:sz w:val="22"/>
                <w:szCs w:val="22"/>
                <w:lang w:val="en-US"/>
              </w:rPr>
            </w:pPr>
            <w:r w:rsidRPr="00FA5819">
              <w:rPr>
                <w:bCs/>
                <w:sz w:val="22"/>
                <w:szCs w:val="22"/>
                <w:lang w:val="en-US"/>
              </w:rPr>
              <w:t>1.33</w:t>
            </w:r>
            <w:r w:rsidRPr="00FA5819">
              <w:rPr>
                <w:bCs/>
                <w:sz w:val="22"/>
                <w:szCs w:val="22"/>
                <w:vertAlign w:val="superscript"/>
                <w:lang w:val="en-US"/>
              </w:rPr>
              <w:t>ab</w:t>
            </w:r>
          </w:p>
        </w:tc>
        <w:tc>
          <w:tcPr>
            <w:tcW w:w="464" w:type="pct"/>
          </w:tcPr>
          <w:p w14:paraId="002E6651" w14:textId="77777777" w:rsidR="00E156FC" w:rsidRPr="00FA5819" w:rsidRDefault="00E156FC" w:rsidP="00F47F12">
            <w:pPr>
              <w:spacing w:line="240" w:lineRule="auto"/>
              <w:jc w:val="center"/>
              <w:rPr>
                <w:bCs/>
                <w:sz w:val="22"/>
                <w:szCs w:val="22"/>
                <w:lang w:val="en-US"/>
              </w:rPr>
            </w:pPr>
            <w:r w:rsidRPr="00FA5819">
              <w:rPr>
                <w:bCs/>
                <w:sz w:val="22"/>
                <w:szCs w:val="22"/>
                <w:lang w:val="en-US"/>
              </w:rPr>
              <w:t>1.21</w:t>
            </w:r>
            <w:r w:rsidRPr="00FA5819">
              <w:rPr>
                <w:bCs/>
                <w:sz w:val="22"/>
                <w:szCs w:val="22"/>
                <w:vertAlign w:val="superscript"/>
                <w:lang w:val="en-US"/>
              </w:rPr>
              <w:t>ab</w:t>
            </w:r>
          </w:p>
        </w:tc>
        <w:tc>
          <w:tcPr>
            <w:tcW w:w="457" w:type="pct"/>
          </w:tcPr>
          <w:p w14:paraId="0F17E8CD" w14:textId="77777777" w:rsidR="00E156FC" w:rsidRPr="00FA5819" w:rsidRDefault="00E156FC" w:rsidP="00F47F12">
            <w:pPr>
              <w:spacing w:line="240" w:lineRule="auto"/>
              <w:jc w:val="center"/>
              <w:rPr>
                <w:bCs/>
                <w:sz w:val="22"/>
                <w:szCs w:val="22"/>
                <w:lang w:val="en-US"/>
              </w:rPr>
            </w:pPr>
            <w:r w:rsidRPr="00FA5819">
              <w:rPr>
                <w:bCs/>
                <w:sz w:val="22"/>
                <w:szCs w:val="22"/>
                <w:lang w:val="en-US"/>
              </w:rPr>
              <w:t>1.09</w:t>
            </w:r>
            <w:r w:rsidRPr="00FA5819">
              <w:rPr>
                <w:bCs/>
                <w:sz w:val="22"/>
                <w:szCs w:val="22"/>
                <w:vertAlign w:val="superscript"/>
                <w:lang w:val="en-US"/>
              </w:rPr>
              <w:t>b</w:t>
            </w:r>
          </w:p>
        </w:tc>
        <w:tc>
          <w:tcPr>
            <w:tcW w:w="471" w:type="pct"/>
          </w:tcPr>
          <w:p w14:paraId="234ABCDE" w14:textId="77777777" w:rsidR="00E156FC" w:rsidRPr="00FA5819" w:rsidRDefault="00E156FC" w:rsidP="00F47F12">
            <w:pPr>
              <w:spacing w:line="240" w:lineRule="auto"/>
              <w:jc w:val="center"/>
              <w:rPr>
                <w:bCs/>
                <w:sz w:val="22"/>
                <w:szCs w:val="22"/>
                <w:lang w:val="en-US"/>
              </w:rPr>
            </w:pPr>
            <w:r w:rsidRPr="00FA5819">
              <w:rPr>
                <w:bCs/>
                <w:sz w:val="22"/>
                <w:szCs w:val="22"/>
                <w:lang w:val="en-US"/>
              </w:rPr>
              <w:t>1.26</w:t>
            </w:r>
            <w:r w:rsidRPr="00FA5819">
              <w:rPr>
                <w:bCs/>
                <w:sz w:val="22"/>
                <w:szCs w:val="22"/>
                <w:vertAlign w:val="superscript"/>
                <w:lang w:val="en-US"/>
              </w:rPr>
              <w:t>ab</w:t>
            </w:r>
          </w:p>
        </w:tc>
        <w:tc>
          <w:tcPr>
            <w:tcW w:w="392" w:type="pct"/>
          </w:tcPr>
          <w:p w14:paraId="053C61EE" w14:textId="77777777" w:rsidR="00E156FC" w:rsidRPr="00FA5819" w:rsidRDefault="00E156FC" w:rsidP="00F47F12">
            <w:pPr>
              <w:spacing w:line="240" w:lineRule="auto"/>
              <w:jc w:val="center"/>
              <w:rPr>
                <w:bCs/>
                <w:sz w:val="22"/>
                <w:szCs w:val="22"/>
                <w:lang w:val="en-US"/>
              </w:rPr>
            </w:pPr>
            <w:r w:rsidRPr="00FA5819">
              <w:rPr>
                <w:bCs/>
                <w:sz w:val="22"/>
                <w:szCs w:val="22"/>
                <w:lang w:val="en-US"/>
              </w:rPr>
              <w:t>0.20</w:t>
            </w:r>
          </w:p>
        </w:tc>
        <w:tc>
          <w:tcPr>
            <w:tcW w:w="529" w:type="pct"/>
          </w:tcPr>
          <w:p w14:paraId="7885A5E0" w14:textId="77777777" w:rsidR="00E156FC" w:rsidRPr="00FA5819" w:rsidRDefault="00E156FC" w:rsidP="00F47F12">
            <w:pPr>
              <w:spacing w:line="240" w:lineRule="auto"/>
              <w:jc w:val="center"/>
              <w:rPr>
                <w:bCs/>
                <w:sz w:val="22"/>
                <w:szCs w:val="22"/>
                <w:lang w:val="en-US"/>
              </w:rPr>
            </w:pPr>
            <w:r w:rsidRPr="00FA5819">
              <w:rPr>
                <w:bCs/>
                <w:sz w:val="22"/>
                <w:szCs w:val="22"/>
                <w:lang w:val="en-US"/>
              </w:rPr>
              <w:t>0.009</w:t>
            </w:r>
          </w:p>
        </w:tc>
      </w:tr>
      <w:tr w:rsidR="00E156FC" w:rsidRPr="00FA5819" w14:paraId="537088C4" w14:textId="77777777" w:rsidTr="00212172">
        <w:tc>
          <w:tcPr>
            <w:tcW w:w="1304" w:type="pct"/>
          </w:tcPr>
          <w:p w14:paraId="4756C759" w14:textId="77777777" w:rsidR="00E156FC" w:rsidRPr="00FA5819" w:rsidRDefault="00E156FC" w:rsidP="00F47F12">
            <w:pPr>
              <w:spacing w:line="240" w:lineRule="auto"/>
              <w:ind w:right="-15"/>
              <w:rPr>
                <w:bCs/>
                <w:sz w:val="22"/>
                <w:szCs w:val="22"/>
                <w:lang w:val="en-US"/>
              </w:rPr>
            </w:pPr>
            <w:r w:rsidRPr="00FA5819">
              <w:rPr>
                <w:bCs/>
                <w:sz w:val="22"/>
                <w:szCs w:val="22"/>
                <w:lang w:val="en-US"/>
              </w:rPr>
              <w:t>Protozoa (×10</w:t>
            </w:r>
            <w:r w:rsidRPr="00FA5819">
              <w:rPr>
                <w:bCs/>
                <w:sz w:val="22"/>
                <w:szCs w:val="22"/>
                <w:vertAlign w:val="superscript"/>
                <w:lang w:val="en-US"/>
              </w:rPr>
              <w:t xml:space="preserve">5 </w:t>
            </w:r>
            <w:r w:rsidRPr="00FA5819">
              <w:rPr>
                <w:bCs/>
                <w:sz w:val="22"/>
                <w:szCs w:val="22"/>
                <w:lang w:val="en-US"/>
              </w:rPr>
              <w:t>cfu/ml)</w:t>
            </w:r>
          </w:p>
        </w:tc>
        <w:tc>
          <w:tcPr>
            <w:tcW w:w="522" w:type="pct"/>
          </w:tcPr>
          <w:p w14:paraId="672A7FE4" w14:textId="70824385" w:rsidR="00E156FC" w:rsidRPr="00FA5819" w:rsidRDefault="00E156FC" w:rsidP="00F47F12">
            <w:pPr>
              <w:spacing w:line="240" w:lineRule="auto"/>
              <w:jc w:val="center"/>
              <w:rPr>
                <w:bCs/>
                <w:sz w:val="22"/>
                <w:szCs w:val="22"/>
                <w:lang w:val="en-US"/>
              </w:rPr>
            </w:pPr>
            <w:r w:rsidRPr="00FA5819">
              <w:rPr>
                <w:bCs/>
                <w:sz w:val="22"/>
                <w:szCs w:val="22"/>
                <w:lang w:val="en-US"/>
              </w:rPr>
              <w:t>10.8</w:t>
            </w:r>
            <w:r w:rsidRPr="00FA5819">
              <w:rPr>
                <w:bCs/>
                <w:sz w:val="22"/>
                <w:szCs w:val="22"/>
                <w:vertAlign w:val="superscript"/>
                <w:lang w:val="en-US"/>
              </w:rPr>
              <w:t>a</w:t>
            </w:r>
          </w:p>
        </w:tc>
        <w:tc>
          <w:tcPr>
            <w:tcW w:w="431" w:type="pct"/>
          </w:tcPr>
          <w:p w14:paraId="64793082" w14:textId="77777777" w:rsidR="00E156FC" w:rsidRPr="00FA5819" w:rsidRDefault="00E156FC" w:rsidP="00F47F12">
            <w:pPr>
              <w:spacing w:line="240" w:lineRule="auto"/>
              <w:jc w:val="center"/>
              <w:rPr>
                <w:bCs/>
                <w:sz w:val="22"/>
                <w:szCs w:val="22"/>
                <w:lang w:val="en-US"/>
              </w:rPr>
            </w:pPr>
            <w:r w:rsidRPr="00FA5819">
              <w:rPr>
                <w:bCs/>
                <w:sz w:val="22"/>
                <w:szCs w:val="22"/>
                <w:lang w:val="en-US"/>
              </w:rPr>
              <w:t>8.33</w:t>
            </w:r>
            <w:r w:rsidRPr="00FA5819">
              <w:rPr>
                <w:bCs/>
                <w:sz w:val="22"/>
                <w:szCs w:val="22"/>
                <w:vertAlign w:val="superscript"/>
                <w:lang w:val="en-US"/>
              </w:rPr>
              <w:t>b</w:t>
            </w:r>
          </w:p>
        </w:tc>
        <w:tc>
          <w:tcPr>
            <w:tcW w:w="431" w:type="pct"/>
          </w:tcPr>
          <w:p w14:paraId="1846CD89" w14:textId="77777777" w:rsidR="00E156FC" w:rsidRPr="00FA5819" w:rsidRDefault="00E156FC" w:rsidP="00F47F12">
            <w:pPr>
              <w:spacing w:line="240" w:lineRule="auto"/>
              <w:jc w:val="center"/>
              <w:rPr>
                <w:bCs/>
                <w:sz w:val="22"/>
                <w:szCs w:val="22"/>
                <w:lang w:val="en-US"/>
              </w:rPr>
            </w:pPr>
            <w:r w:rsidRPr="00FA5819">
              <w:rPr>
                <w:bCs/>
                <w:sz w:val="22"/>
                <w:szCs w:val="22"/>
                <w:lang w:val="en-US"/>
              </w:rPr>
              <w:t>8.93</w:t>
            </w:r>
            <w:r w:rsidRPr="00FA5819">
              <w:rPr>
                <w:bCs/>
                <w:sz w:val="22"/>
                <w:szCs w:val="22"/>
                <w:vertAlign w:val="superscript"/>
                <w:lang w:val="en-US"/>
              </w:rPr>
              <w:t>ab</w:t>
            </w:r>
          </w:p>
        </w:tc>
        <w:tc>
          <w:tcPr>
            <w:tcW w:w="464" w:type="pct"/>
          </w:tcPr>
          <w:p w14:paraId="6F47C03B" w14:textId="77777777" w:rsidR="00E156FC" w:rsidRPr="00FA5819" w:rsidRDefault="00E156FC" w:rsidP="00F47F12">
            <w:pPr>
              <w:spacing w:line="240" w:lineRule="auto"/>
              <w:jc w:val="center"/>
              <w:rPr>
                <w:bCs/>
                <w:sz w:val="22"/>
                <w:szCs w:val="22"/>
                <w:lang w:val="en-US"/>
              </w:rPr>
            </w:pPr>
            <w:r w:rsidRPr="00FA5819">
              <w:rPr>
                <w:bCs/>
                <w:sz w:val="22"/>
                <w:szCs w:val="22"/>
                <w:lang w:val="en-US"/>
              </w:rPr>
              <w:t>8.20</w:t>
            </w:r>
            <w:r w:rsidRPr="00FA5819">
              <w:rPr>
                <w:bCs/>
                <w:sz w:val="22"/>
                <w:szCs w:val="22"/>
                <w:vertAlign w:val="superscript"/>
                <w:lang w:val="en-US"/>
              </w:rPr>
              <w:t>b</w:t>
            </w:r>
          </w:p>
        </w:tc>
        <w:tc>
          <w:tcPr>
            <w:tcW w:w="457" w:type="pct"/>
          </w:tcPr>
          <w:p w14:paraId="2EA691DE" w14:textId="77777777" w:rsidR="00E156FC" w:rsidRPr="00FA5819" w:rsidRDefault="00E156FC" w:rsidP="00F47F12">
            <w:pPr>
              <w:spacing w:line="240" w:lineRule="auto"/>
              <w:jc w:val="center"/>
              <w:rPr>
                <w:bCs/>
                <w:sz w:val="22"/>
                <w:szCs w:val="22"/>
                <w:lang w:val="en-US"/>
              </w:rPr>
            </w:pPr>
            <w:r w:rsidRPr="00FA5819">
              <w:rPr>
                <w:bCs/>
                <w:sz w:val="22"/>
                <w:szCs w:val="22"/>
                <w:lang w:val="en-US"/>
              </w:rPr>
              <w:t>6.93</w:t>
            </w:r>
            <w:r w:rsidRPr="00FA5819">
              <w:rPr>
                <w:bCs/>
                <w:sz w:val="22"/>
                <w:szCs w:val="22"/>
                <w:vertAlign w:val="superscript"/>
                <w:lang w:val="en-US"/>
              </w:rPr>
              <w:t>b</w:t>
            </w:r>
          </w:p>
        </w:tc>
        <w:tc>
          <w:tcPr>
            <w:tcW w:w="471" w:type="pct"/>
          </w:tcPr>
          <w:p w14:paraId="4736C3FF" w14:textId="77777777" w:rsidR="00E156FC" w:rsidRPr="00FA5819" w:rsidRDefault="00E156FC" w:rsidP="00F47F12">
            <w:pPr>
              <w:spacing w:line="240" w:lineRule="auto"/>
              <w:jc w:val="center"/>
              <w:rPr>
                <w:bCs/>
                <w:sz w:val="22"/>
                <w:szCs w:val="22"/>
                <w:lang w:val="en-US"/>
              </w:rPr>
            </w:pPr>
            <w:r w:rsidRPr="00FA5819">
              <w:rPr>
                <w:bCs/>
                <w:sz w:val="22"/>
                <w:szCs w:val="22"/>
                <w:lang w:val="en-US"/>
              </w:rPr>
              <w:t>7.50</w:t>
            </w:r>
            <w:r w:rsidRPr="00FA5819">
              <w:rPr>
                <w:bCs/>
                <w:sz w:val="22"/>
                <w:szCs w:val="22"/>
                <w:vertAlign w:val="superscript"/>
                <w:lang w:val="en-US"/>
              </w:rPr>
              <w:t>b</w:t>
            </w:r>
          </w:p>
        </w:tc>
        <w:tc>
          <w:tcPr>
            <w:tcW w:w="392" w:type="pct"/>
          </w:tcPr>
          <w:p w14:paraId="1B09D904" w14:textId="77777777" w:rsidR="00E156FC" w:rsidRPr="00FA5819" w:rsidRDefault="00E156FC" w:rsidP="00F47F12">
            <w:pPr>
              <w:spacing w:line="240" w:lineRule="auto"/>
              <w:jc w:val="center"/>
              <w:rPr>
                <w:bCs/>
                <w:sz w:val="22"/>
                <w:szCs w:val="22"/>
                <w:lang w:val="en-US"/>
              </w:rPr>
            </w:pPr>
            <w:r w:rsidRPr="00FA5819">
              <w:rPr>
                <w:bCs/>
                <w:sz w:val="22"/>
                <w:szCs w:val="22"/>
                <w:lang w:val="en-US"/>
              </w:rPr>
              <w:t>1.92</w:t>
            </w:r>
          </w:p>
        </w:tc>
        <w:tc>
          <w:tcPr>
            <w:tcW w:w="529" w:type="pct"/>
          </w:tcPr>
          <w:p w14:paraId="63D73DF3" w14:textId="77777777" w:rsidR="00E156FC" w:rsidRPr="00FA5819" w:rsidRDefault="00E156FC" w:rsidP="00F47F12">
            <w:pPr>
              <w:spacing w:line="240" w:lineRule="auto"/>
              <w:jc w:val="center"/>
              <w:rPr>
                <w:bCs/>
                <w:sz w:val="22"/>
                <w:szCs w:val="22"/>
                <w:lang w:val="en-US"/>
              </w:rPr>
            </w:pPr>
            <w:r w:rsidRPr="00FA5819">
              <w:rPr>
                <w:bCs/>
                <w:sz w:val="22"/>
                <w:szCs w:val="22"/>
                <w:lang w:val="en-US"/>
              </w:rPr>
              <w:t>0.003</w:t>
            </w:r>
          </w:p>
        </w:tc>
      </w:tr>
    </w:tbl>
    <w:p w14:paraId="1F3B99DA" w14:textId="77777777" w:rsidR="00E156FC" w:rsidRPr="00FC4B45" w:rsidRDefault="00E156FC" w:rsidP="00E156FC">
      <w:pPr>
        <w:spacing w:after="0" w:line="240" w:lineRule="auto"/>
        <w:rPr>
          <w:rFonts w:cs="Times New Roman"/>
          <w:bCs/>
          <w:sz w:val="20"/>
          <w:szCs w:val="20"/>
        </w:rPr>
      </w:pPr>
      <w:r w:rsidRPr="00FC4B45">
        <w:rPr>
          <w:rFonts w:cs="Times New Roman"/>
          <w:sz w:val="20"/>
          <w:szCs w:val="20"/>
          <w:vertAlign w:val="superscript"/>
        </w:rPr>
        <w:t xml:space="preserve">a-b </w:t>
      </w:r>
      <w:r w:rsidRPr="00FC4B45">
        <w:rPr>
          <w:rFonts w:cs="Times New Roman"/>
          <w:sz w:val="20"/>
          <w:szCs w:val="20"/>
        </w:rPr>
        <w:t xml:space="preserve">Means within a row with different superscripts are significantly different at </w:t>
      </w:r>
      <w:r w:rsidRPr="00FC4B45">
        <w:rPr>
          <w:rFonts w:cs="Times New Roman"/>
          <w:i/>
          <w:iCs/>
          <w:sz w:val="20"/>
          <w:szCs w:val="20"/>
        </w:rPr>
        <w:t>P</w:t>
      </w:r>
      <w:r w:rsidRPr="00FC4B45">
        <w:rPr>
          <w:rFonts w:cs="Times New Roman"/>
          <w:sz w:val="20"/>
          <w:szCs w:val="20"/>
        </w:rPr>
        <w:t>&lt;0.05 (</w:t>
      </w:r>
      <w:r w:rsidRPr="00FC4B45">
        <w:rPr>
          <w:rFonts w:cs="Times New Roman"/>
          <w:i/>
          <w:sz w:val="20"/>
          <w:szCs w:val="20"/>
        </w:rPr>
        <w:t>n</w:t>
      </w:r>
      <w:r w:rsidRPr="00FC4B45">
        <w:rPr>
          <w:rFonts w:cs="Times New Roman"/>
          <w:sz w:val="20"/>
          <w:szCs w:val="20"/>
        </w:rPr>
        <w:t xml:space="preserve">=6 </w:t>
      </w:r>
      <w:r w:rsidRPr="00FC4B45">
        <w:rPr>
          <w:rFonts w:cs="Times New Roman"/>
          <w:bCs/>
          <w:sz w:val="20"/>
          <w:szCs w:val="20"/>
        </w:rPr>
        <w:t xml:space="preserve">for gas production and </w:t>
      </w:r>
      <w:r w:rsidRPr="00FC4B45">
        <w:rPr>
          <w:rFonts w:cs="Times New Roman"/>
          <w:bCs/>
          <w:i/>
          <w:sz w:val="20"/>
          <w:szCs w:val="20"/>
        </w:rPr>
        <w:t>n</w:t>
      </w:r>
      <w:r w:rsidRPr="00FC4B45">
        <w:rPr>
          <w:rFonts w:cs="Times New Roman"/>
          <w:bCs/>
          <w:sz w:val="20"/>
          <w:szCs w:val="20"/>
        </w:rPr>
        <w:t>=3 for methane production and protozoa).</w:t>
      </w:r>
    </w:p>
    <w:p w14:paraId="4C8A0115" w14:textId="77777777" w:rsidR="00E156FC" w:rsidRPr="00FC4B45" w:rsidRDefault="00E156FC" w:rsidP="00EB4BAC">
      <w:pPr>
        <w:spacing w:before="120" w:after="120" w:line="240" w:lineRule="auto"/>
        <w:jc w:val="left"/>
        <w:rPr>
          <w:rFonts w:cs="Times New Roman"/>
          <w:b/>
          <w:bCs/>
          <w:sz w:val="24"/>
          <w:szCs w:val="24"/>
        </w:rPr>
      </w:pPr>
      <w:r w:rsidRPr="00FC4B45">
        <w:rPr>
          <w:rFonts w:cs="Times New Roman"/>
          <w:b/>
          <w:bCs/>
          <w:sz w:val="24"/>
          <w:szCs w:val="24"/>
        </w:rPr>
        <w:t>Table 3. Volatile fatty acid production, nitrogen metabolism, and digestibility</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960"/>
        <w:gridCol w:w="858"/>
        <w:gridCol w:w="858"/>
        <w:gridCol w:w="858"/>
        <w:gridCol w:w="827"/>
        <w:gridCol w:w="859"/>
        <w:gridCol w:w="706"/>
        <w:gridCol w:w="935"/>
      </w:tblGrid>
      <w:tr w:rsidR="00E156FC" w:rsidRPr="00FA5819" w14:paraId="726DA37D" w14:textId="77777777" w:rsidTr="00F47F12">
        <w:tc>
          <w:tcPr>
            <w:tcW w:w="1200" w:type="pct"/>
            <w:vMerge w:val="restart"/>
            <w:vAlign w:val="center"/>
          </w:tcPr>
          <w:p w14:paraId="65586801" w14:textId="77777777" w:rsidR="00E156FC" w:rsidRPr="00FA5819" w:rsidRDefault="00E156FC" w:rsidP="00F47F12">
            <w:pPr>
              <w:spacing w:line="240" w:lineRule="auto"/>
              <w:rPr>
                <w:bCs/>
                <w:sz w:val="22"/>
                <w:szCs w:val="22"/>
                <w:lang w:val="en-US"/>
              </w:rPr>
            </w:pPr>
            <w:r w:rsidRPr="00FA5819">
              <w:rPr>
                <w:bCs/>
                <w:sz w:val="22"/>
                <w:szCs w:val="22"/>
                <w:lang w:val="en-US"/>
              </w:rPr>
              <w:t>Item</w:t>
            </w:r>
          </w:p>
        </w:tc>
        <w:tc>
          <w:tcPr>
            <w:tcW w:w="2891" w:type="pct"/>
            <w:gridSpan w:val="6"/>
            <w:tcBorders>
              <w:bottom w:val="single" w:sz="4" w:space="0" w:color="auto"/>
            </w:tcBorders>
          </w:tcPr>
          <w:p w14:paraId="0B9AE55A" w14:textId="77777777" w:rsidR="00E156FC" w:rsidRPr="00FA5819" w:rsidRDefault="00E156FC" w:rsidP="00F47F12">
            <w:pPr>
              <w:spacing w:line="240" w:lineRule="auto"/>
              <w:jc w:val="center"/>
              <w:rPr>
                <w:bCs/>
                <w:sz w:val="22"/>
                <w:szCs w:val="22"/>
                <w:lang w:val="en-US"/>
              </w:rPr>
            </w:pPr>
            <w:r w:rsidRPr="00FA5819">
              <w:rPr>
                <w:bCs/>
                <w:sz w:val="22"/>
                <w:szCs w:val="22"/>
                <w:lang w:val="en-US"/>
              </w:rPr>
              <w:t>Treatment</w:t>
            </w:r>
          </w:p>
        </w:tc>
        <w:tc>
          <w:tcPr>
            <w:tcW w:w="391" w:type="pct"/>
            <w:vMerge w:val="restart"/>
            <w:vAlign w:val="center"/>
          </w:tcPr>
          <w:p w14:paraId="505D7241" w14:textId="77777777" w:rsidR="00E156FC" w:rsidRPr="00FA5819" w:rsidRDefault="00E156FC" w:rsidP="00F47F12">
            <w:pPr>
              <w:spacing w:line="240" w:lineRule="auto"/>
              <w:jc w:val="center"/>
              <w:rPr>
                <w:bCs/>
                <w:sz w:val="22"/>
                <w:szCs w:val="22"/>
                <w:lang w:val="en-US"/>
              </w:rPr>
            </w:pPr>
            <w:r w:rsidRPr="00FA5819">
              <w:rPr>
                <w:bCs/>
                <w:sz w:val="22"/>
                <w:szCs w:val="22"/>
                <w:lang w:val="en-US"/>
              </w:rPr>
              <w:t>SEM</w:t>
            </w:r>
          </w:p>
        </w:tc>
        <w:tc>
          <w:tcPr>
            <w:tcW w:w="518" w:type="pct"/>
            <w:vMerge w:val="restart"/>
            <w:vAlign w:val="center"/>
          </w:tcPr>
          <w:p w14:paraId="2BF5092C" w14:textId="77777777" w:rsidR="00E156FC" w:rsidRPr="00FA5819" w:rsidRDefault="00E156FC" w:rsidP="00F47F12">
            <w:pPr>
              <w:spacing w:line="240" w:lineRule="auto"/>
              <w:jc w:val="center"/>
              <w:rPr>
                <w:bCs/>
                <w:sz w:val="22"/>
                <w:szCs w:val="22"/>
                <w:lang w:val="en-US"/>
              </w:rPr>
            </w:pPr>
            <w:r w:rsidRPr="00FA5819">
              <w:rPr>
                <w:bCs/>
                <w:i/>
                <w:sz w:val="22"/>
                <w:szCs w:val="22"/>
                <w:lang w:val="en-US"/>
              </w:rPr>
              <w:t>P</w:t>
            </w:r>
            <w:r w:rsidRPr="00FA5819">
              <w:rPr>
                <w:bCs/>
                <w:sz w:val="22"/>
                <w:szCs w:val="22"/>
                <w:lang w:val="en-US"/>
              </w:rPr>
              <w:t>-value</w:t>
            </w:r>
          </w:p>
        </w:tc>
      </w:tr>
      <w:tr w:rsidR="00E156FC" w:rsidRPr="00FA5819" w14:paraId="1BC589B8" w14:textId="77777777" w:rsidTr="00F47F12">
        <w:tc>
          <w:tcPr>
            <w:tcW w:w="1200" w:type="pct"/>
            <w:vMerge/>
            <w:tcBorders>
              <w:bottom w:val="single" w:sz="4" w:space="0" w:color="auto"/>
            </w:tcBorders>
          </w:tcPr>
          <w:p w14:paraId="7325EFB0" w14:textId="77777777" w:rsidR="00E156FC" w:rsidRPr="00FA5819" w:rsidRDefault="00E156FC" w:rsidP="00F47F12">
            <w:pPr>
              <w:spacing w:line="240" w:lineRule="auto"/>
              <w:rPr>
                <w:bCs/>
                <w:sz w:val="22"/>
                <w:szCs w:val="22"/>
                <w:lang w:val="en-US"/>
              </w:rPr>
            </w:pPr>
          </w:p>
        </w:tc>
        <w:tc>
          <w:tcPr>
            <w:tcW w:w="532" w:type="pct"/>
            <w:tcBorders>
              <w:top w:val="single" w:sz="4" w:space="0" w:color="auto"/>
              <w:bottom w:val="single" w:sz="4" w:space="0" w:color="auto"/>
            </w:tcBorders>
          </w:tcPr>
          <w:p w14:paraId="116927C1" w14:textId="77777777" w:rsidR="00E156FC" w:rsidRPr="00FA5819" w:rsidRDefault="00E156FC" w:rsidP="00F47F12">
            <w:pPr>
              <w:spacing w:line="240" w:lineRule="auto"/>
              <w:jc w:val="center"/>
              <w:rPr>
                <w:sz w:val="22"/>
                <w:szCs w:val="22"/>
              </w:rPr>
            </w:pPr>
            <w:r w:rsidRPr="00FA5819">
              <w:rPr>
                <w:sz w:val="22"/>
                <w:szCs w:val="22"/>
              </w:rPr>
              <w:t>Control</w:t>
            </w:r>
          </w:p>
        </w:tc>
        <w:tc>
          <w:tcPr>
            <w:tcW w:w="475" w:type="pct"/>
            <w:tcBorders>
              <w:top w:val="single" w:sz="4" w:space="0" w:color="auto"/>
              <w:bottom w:val="single" w:sz="4" w:space="0" w:color="auto"/>
            </w:tcBorders>
          </w:tcPr>
          <w:p w14:paraId="0A26D17C" w14:textId="77777777" w:rsidR="00E156FC" w:rsidRPr="00FA5819" w:rsidRDefault="00E156FC" w:rsidP="00F47F12">
            <w:pPr>
              <w:spacing w:line="240" w:lineRule="auto"/>
              <w:jc w:val="center"/>
              <w:rPr>
                <w:sz w:val="22"/>
                <w:szCs w:val="22"/>
              </w:rPr>
            </w:pPr>
            <w:r w:rsidRPr="00FA5819">
              <w:rPr>
                <w:sz w:val="22"/>
                <w:szCs w:val="22"/>
              </w:rPr>
              <w:t>LO</w:t>
            </w:r>
          </w:p>
        </w:tc>
        <w:tc>
          <w:tcPr>
            <w:tcW w:w="475" w:type="pct"/>
            <w:tcBorders>
              <w:top w:val="single" w:sz="4" w:space="0" w:color="auto"/>
              <w:bottom w:val="single" w:sz="4" w:space="0" w:color="auto"/>
            </w:tcBorders>
          </w:tcPr>
          <w:p w14:paraId="0E3F48A2" w14:textId="77777777" w:rsidR="00E156FC" w:rsidRPr="00FA5819" w:rsidRDefault="00E156FC" w:rsidP="00F47F12">
            <w:pPr>
              <w:spacing w:line="240" w:lineRule="auto"/>
              <w:jc w:val="center"/>
              <w:rPr>
                <w:sz w:val="22"/>
                <w:szCs w:val="22"/>
              </w:rPr>
            </w:pPr>
            <w:r w:rsidRPr="00FA5819">
              <w:rPr>
                <w:sz w:val="22"/>
                <w:szCs w:val="22"/>
              </w:rPr>
              <w:t>SO</w:t>
            </w:r>
          </w:p>
        </w:tc>
        <w:tc>
          <w:tcPr>
            <w:tcW w:w="475" w:type="pct"/>
            <w:tcBorders>
              <w:top w:val="single" w:sz="4" w:space="0" w:color="auto"/>
              <w:bottom w:val="single" w:sz="4" w:space="0" w:color="auto"/>
            </w:tcBorders>
          </w:tcPr>
          <w:p w14:paraId="2CD22660" w14:textId="77777777" w:rsidR="00E156FC" w:rsidRPr="00FA5819" w:rsidRDefault="00E156FC" w:rsidP="00F47F12">
            <w:pPr>
              <w:spacing w:line="240" w:lineRule="auto"/>
              <w:jc w:val="center"/>
              <w:rPr>
                <w:sz w:val="22"/>
                <w:szCs w:val="22"/>
              </w:rPr>
            </w:pPr>
            <w:r w:rsidRPr="00FA5819">
              <w:rPr>
                <w:sz w:val="22"/>
                <w:szCs w:val="22"/>
              </w:rPr>
              <w:t>LOFO</w:t>
            </w:r>
          </w:p>
        </w:tc>
        <w:tc>
          <w:tcPr>
            <w:tcW w:w="458" w:type="pct"/>
            <w:tcBorders>
              <w:top w:val="single" w:sz="4" w:space="0" w:color="auto"/>
              <w:bottom w:val="single" w:sz="4" w:space="0" w:color="auto"/>
            </w:tcBorders>
          </w:tcPr>
          <w:p w14:paraId="1516FB35" w14:textId="77777777" w:rsidR="00E156FC" w:rsidRPr="00FA5819" w:rsidRDefault="00E156FC" w:rsidP="00F47F12">
            <w:pPr>
              <w:spacing w:line="240" w:lineRule="auto"/>
              <w:jc w:val="center"/>
              <w:rPr>
                <w:sz w:val="22"/>
                <w:szCs w:val="22"/>
              </w:rPr>
            </w:pPr>
            <w:r w:rsidRPr="00FA5819">
              <w:rPr>
                <w:sz w:val="22"/>
                <w:szCs w:val="22"/>
              </w:rPr>
              <w:t>SOFO</w:t>
            </w:r>
          </w:p>
        </w:tc>
        <w:tc>
          <w:tcPr>
            <w:tcW w:w="475" w:type="pct"/>
            <w:tcBorders>
              <w:top w:val="single" w:sz="4" w:space="0" w:color="auto"/>
              <w:bottom w:val="single" w:sz="4" w:space="0" w:color="auto"/>
            </w:tcBorders>
          </w:tcPr>
          <w:p w14:paraId="2DAFDAED" w14:textId="77777777" w:rsidR="00E156FC" w:rsidRPr="00FA5819" w:rsidRDefault="00E156FC" w:rsidP="00F47F12">
            <w:pPr>
              <w:spacing w:line="240" w:lineRule="auto"/>
              <w:jc w:val="center"/>
              <w:rPr>
                <w:sz w:val="22"/>
                <w:szCs w:val="22"/>
              </w:rPr>
            </w:pPr>
            <w:r w:rsidRPr="00FA5819">
              <w:rPr>
                <w:sz w:val="22"/>
                <w:szCs w:val="22"/>
              </w:rPr>
              <w:t>MIXO</w:t>
            </w:r>
          </w:p>
        </w:tc>
        <w:tc>
          <w:tcPr>
            <w:tcW w:w="391" w:type="pct"/>
            <w:vMerge/>
            <w:tcBorders>
              <w:bottom w:val="single" w:sz="4" w:space="0" w:color="auto"/>
            </w:tcBorders>
          </w:tcPr>
          <w:p w14:paraId="4E6E7231" w14:textId="77777777" w:rsidR="00E156FC" w:rsidRPr="00FA5819" w:rsidRDefault="00E156FC" w:rsidP="00F47F12">
            <w:pPr>
              <w:spacing w:line="240" w:lineRule="auto"/>
              <w:jc w:val="center"/>
              <w:rPr>
                <w:bCs/>
                <w:sz w:val="22"/>
                <w:szCs w:val="22"/>
                <w:lang w:val="en-US"/>
              </w:rPr>
            </w:pPr>
          </w:p>
        </w:tc>
        <w:tc>
          <w:tcPr>
            <w:tcW w:w="518" w:type="pct"/>
            <w:vMerge/>
            <w:tcBorders>
              <w:bottom w:val="single" w:sz="4" w:space="0" w:color="auto"/>
            </w:tcBorders>
          </w:tcPr>
          <w:p w14:paraId="7E1F8F33" w14:textId="77777777" w:rsidR="00E156FC" w:rsidRPr="00FA5819" w:rsidRDefault="00E156FC" w:rsidP="00F47F12">
            <w:pPr>
              <w:spacing w:line="240" w:lineRule="auto"/>
              <w:jc w:val="center"/>
              <w:rPr>
                <w:bCs/>
                <w:sz w:val="22"/>
                <w:szCs w:val="22"/>
                <w:lang w:val="en-US"/>
              </w:rPr>
            </w:pPr>
          </w:p>
        </w:tc>
      </w:tr>
      <w:tr w:rsidR="00E156FC" w:rsidRPr="00FA5819" w14:paraId="713B0362" w14:textId="77777777" w:rsidTr="00F47F12">
        <w:tc>
          <w:tcPr>
            <w:tcW w:w="1200" w:type="pct"/>
            <w:tcBorders>
              <w:top w:val="single" w:sz="4" w:space="0" w:color="auto"/>
              <w:bottom w:val="nil"/>
            </w:tcBorders>
          </w:tcPr>
          <w:p w14:paraId="04412ACB" w14:textId="77777777" w:rsidR="00E156FC" w:rsidRPr="00FA5819" w:rsidRDefault="00E156FC" w:rsidP="00F47F12">
            <w:pPr>
              <w:spacing w:line="240" w:lineRule="auto"/>
              <w:rPr>
                <w:bCs/>
                <w:sz w:val="22"/>
                <w:szCs w:val="22"/>
                <w:lang w:val="en-US"/>
              </w:rPr>
            </w:pPr>
            <w:r w:rsidRPr="00FA5819">
              <w:rPr>
                <w:bCs/>
                <w:sz w:val="22"/>
                <w:szCs w:val="22"/>
                <w:lang w:val="en-US"/>
              </w:rPr>
              <w:t>pH</w:t>
            </w:r>
          </w:p>
        </w:tc>
        <w:tc>
          <w:tcPr>
            <w:tcW w:w="532" w:type="pct"/>
            <w:tcBorders>
              <w:top w:val="single" w:sz="4" w:space="0" w:color="auto"/>
              <w:bottom w:val="nil"/>
            </w:tcBorders>
          </w:tcPr>
          <w:p w14:paraId="53136425" w14:textId="77777777" w:rsidR="00E156FC" w:rsidRPr="00FA5819" w:rsidRDefault="00E156FC" w:rsidP="00F47F12">
            <w:pPr>
              <w:spacing w:line="240" w:lineRule="auto"/>
              <w:jc w:val="center"/>
              <w:rPr>
                <w:bCs/>
                <w:sz w:val="22"/>
                <w:szCs w:val="22"/>
                <w:lang w:val="en-US"/>
              </w:rPr>
            </w:pPr>
            <w:r w:rsidRPr="00FA5819">
              <w:rPr>
                <w:bCs/>
                <w:sz w:val="22"/>
                <w:szCs w:val="22"/>
                <w:lang w:val="en-US"/>
              </w:rPr>
              <w:t>6.63</w:t>
            </w:r>
            <w:r w:rsidRPr="00FA5819">
              <w:rPr>
                <w:bCs/>
                <w:sz w:val="22"/>
                <w:szCs w:val="22"/>
                <w:vertAlign w:val="superscript"/>
                <w:lang w:val="en-US"/>
              </w:rPr>
              <w:t>a</w:t>
            </w:r>
          </w:p>
        </w:tc>
        <w:tc>
          <w:tcPr>
            <w:tcW w:w="475" w:type="pct"/>
            <w:tcBorders>
              <w:top w:val="single" w:sz="4" w:space="0" w:color="auto"/>
              <w:bottom w:val="nil"/>
            </w:tcBorders>
          </w:tcPr>
          <w:p w14:paraId="29F5B456" w14:textId="77777777" w:rsidR="00E156FC" w:rsidRPr="00FA5819" w:rsidRDefault="00E156FC" w:rsidP="00F47F12">
            <w:pPr>
              <w:spacing w:line="240" w:lineRule="auto"/>
              <w:jc w:val="center"/>
              <w:rPr>
                <w:bCs/>
                <w:sz w:val="22"/>
                <w:szCs w:val="22"/>
                <w:lang w:val="en-US"/>
              </w:rPr>
            </w:pPr>
            <w:r w:rsidRPr="00FA5819">
              <w:rPr>
                <w:bCs/>
                <w:sz w:val="22"/>
                <w:szCs w:val="22"/>
                <w:lang w:val="en-US"/>
              </w:rPr>
              <w:t>6.61</w:t>
            </w:r>
            <w:r w:rsidRPr="00FA5819">
              <w:rPr>
                <w:bCs/>
                <w:sz w:val="22"/>
                <w:szCs w:val="22"/>
                <w:vertAlign w:val="superscript"/>
                <w:lang w:val="en-US"/>
              </w:rPr>
              <w:t>ab</w:t>
            </w:r>
          </w:p>
        </w:tc>
        <w:tc>
          <w:tcPr>
            <w:tcW w:w="475" w:type="pct"/>
            <w:tcBorders>
              <w:top w:val="single" w:sz="4" w:space="0" w:color="auto"/>
              <w:bottom w:val="nil"/>
            </w:tcBorders>
          </w:tcPr>
          <w:p w14:paraId="5214195D" w14:textId="77777777" w:rsidR="00E156FC" w:rsidRPr="00FA5819" w:rsidRDefault="00E156FC" w:rsidP="00F47F12">
            <w:pPr>
              <w:spacing w:line="240" w:lineRule="auto"/>
              <w:jc w:val="center"/>
              <w:rPr>
                <w:bCs/>
                <w:sz w:val="22"/>
                <w:szCs w:val="22"/>
                <w:lang w:val="en-US"/>
              </w:rPr>
            </w:pPr>
            <w:r w:rsidRPr="00FA5819">
              <w:rPr>
                <w:bCs/>
                <w:sz w:val="22"/>
                <w:szCs w:val="22"/>
                <w:lang w:val="en-US"/>
              </w:rPr>
              <w:t>6.61</w:t>
            </w:r>
            <w:r w:rsidRPr="00FA5819">
              <w:rPr>
                <w:bCs/>
                <w:sz w:val="22"/>
                <w:szCs w:val="22"/>
                <w:vertAlign w:val="superscript"/>
                <w:lang w:val="en-US"/>
              </w:rPr>
              <w:t>ab</w:t>
            </w:r>
          </w:p>
        </w:tc>
        <w:tc>
          <w:tcPr>
            <w:tcW w:w="475" w:type="pct"/>
            <w:tcBorders>
              <w:top w:val="single" w:sz="4" w:space="0" w:color="auto"/>
              <w:bottom w:val="nil"/>
            </w:tcBorders>
          </w:tcPr>
          <w:p w14:paraId="681DE19F" w14:textId="77777777" w:rsidR="00E156FC" w:rsidRPr="00FA5819" w:rsidRDefault="00E156FC" w:rsidP="00F47F12">
            <w:pPr>
              <w:spacing w:line="240" w:lineRule="auto"/>
              <w:jc w:val="center"/>
              <w:rPr>
                <w:bCs/>
                <w:sz w:val="22"/>
                <w:szCs w:val="22"/>
                <w:lang w:val="en-US"/>
              </w:rPr>
            </w:pPr>
            <w:r w:rsidRPr="00FA5819">
              <w:rPr>
                <w:bCs/>
                <w:sz w:val="22"/>
                <w:szCs w:val="22"/>
                <w:lang w:val="en-US"/>
              </w:rPr>
              <w:t>6.61</w:t>
            </w:r>
            <w:r w:rsidRPr="00FA5819">
              <w:rPr>
                <w:bCs/>
                <w:sz w:val="22"/>
                <w:szCs w:val="22"/>
                <w:vertAlign w:val="superscript"/>
                <w:lang w:val="en-US"/>
              </w:rPr>
              <w:t>ab</w:t>
            </w:r>
          </w:p>
        </w:tc>
        <w:tc>
          <w:tcPr>
            <w:tcW w:w="458" w:type="pct"/>
            <w:tcBorders>
              <w:top w:val="single" w:sz="4" w:space="0" w:color="auto"/>
              <w:bottom w:val="nil"/>
            </w:tcBorders>
          </w:tcPr>
          <w:p w14:paraId="5D656C9F" w14:textId="77777777" w:rsidR="00E156FC" w:rsidRPr="00FA5819" w:rsidRDefault="00E156FC" w:rsidP="00F47F12">
            <w:pPr>
              <w:spacing w:line="240" w:lineRule="auto"/>
              <w:jc w:val="center"/>
              <w:rPr>
                <w:bCs/>
                <w:sz w:val="22"/>
                <w:szCs w:val="22"/>
                <w:lang w:val="en-US"/>
              </w:rPr>
            </w:pPr>
            <w:r w:rsidRPr="00FA5819">
              <w:rPr>
                <w:bCs/>
                <w:sz w:val="22"/>
                <w:szCs w:val="22"/>
                <w:lang w:val="en-US"/>
              </w:rPr>
              <w:t>6.60</w:t>
            </w:r>
            <w:r w:rsidRPr="00FA5819">
              <w:rPr>
                <w:bCs/>
                <w:sz w:val="22"/>
                <w:szCs w:val="22"/>
                <w:vertAlign w:val="superscript"/>
                <w:lang w:val="en-US"/>
              </w:rPr>
              <w:t>b</w:t>
            </w:r>
          </w:p>
        </w:tc>
        <w:tc>
          <w:tcPr>
            <w:tcW w:w="475" w:type="pct"/>
            <w:tcBorders>
              <w:top w:val="single" w:sz="4" w:space="0" w:color="auto"/>
              <w:bottom w:val="nil"/>
            </w:tcBorders>
          </w:tcPr>
          <w:p w14:paraId="17050421" w14:textId="77777777" w:rsidR="00E156FC" w:rsidRPr="00FA5819" w:rsidRDefault="00E156FC" w:rsidP="00F47F12">
            <w:pPr>
              <w:spacing w:line="240" w:lineRule="auto"/>
              <w:jc w:val="center"/>
              <w:rPr>
                <w:bCs/>
                <w:sz w:val="22"/>
                <w:szCs w:val="22"/>
                <w:lang w:val="en-US"/>
              </w:rPr>
            </w:pPr>
            <w:r w:rsidRPr="00FA5819">
              <w:rPr>
                <w:bCs/>
                <w:sz w:val="22"/>
                <w:szCs w:val="22"/>
                <w:lang w:val="en-US"/>
              </w:rPr>
              <w:t>6.60</w:t>
            </w:r>
            <w:r w:rsidRPr="00FA5819">
              <w:rPr>
                <w:bCs/>
                <w:sz w:val="22"/>
                <w:szCs w:val="22"/>
                <w:vertAlign w:val="superscript"/>
                <w:lang w:val="en-US"/>
              </w:rPr>
              <w:t>ab</w:t>
            </w:r>
          </w:p>
        </w:tc>
        <w:tc>
          <w:tcPr>
            <w:tcW w:w="391" w:type="pct"/>
            <w:tcBorders>
              <w:top w:val="single" w:sz="4" w:space="0" w:color="auto"/>
              <w:bottom w:val="nil"/>
            </w:tcBorders>
          </w:tcPr>
          <w:p w14:paraId="367C1CD6" w14:textId="77777777" w:rsidR="00E156FC" w:rsidRPr="00FA5819" w:rsidRDefault="00E156FC" w:rsidP="00F47F12">
            <w:pPr>
              <w:spacing w:line="240" w:lineRule="auto"/>
              <w:jc w:val="center"/>
              <w:rPr>
                <w:bCs/>
                <w:sz w:val="22"/>
                <w:szCs w:val="22"/>
                <w:lang w:val="en-US"/>
              </w:rPr>
            </w:pPr>
            <w:r w:rsidRPr="00FA5819">
              <w:rPr>
                <w:bCs/>
                <w:sz w:val="22"/>
                <w:szCs w:val="22"/>
                <w:lang w:val="en-US"/>
              </w:rPr>
              <w:t>0.02</w:t>
            </w:r>
          </w:p>
        </w:tc>
        <w:tc>
          <w:tcPr>
            <w:tcW w:w="518" w:type="pct"/>
            <w:tcBorders>
              <w:top w:val="single" w:sz="4" w:space="0" w:color="auto"/>
              <w:bottom w:val="nil"/>
            </w:tcBorders>
          </w:tcPr>
          <w:p w14:paraId="526B1615" w14:textId="77777777" w:rsidR="00E156FC" w:rsidRPr="00FA5819" w:rsidRDefault="00E156FC" w:rsidP="00F47F12">
            <w:pPr>
              <w:spacing w:line="240" w:lineRule="auto"/>
              <w:jc w:val="center"/>
              <w:rPr>
                <w:bCs/>
                <w:sz w:val="22"/>
                <w:szCs w:val="22"/>
                <w:lang w:val="en-US"/>
              </w:rPr>
            </w:pPr>
            <w:r w:rsidRPr="00FA5819">
              <w:rPr>
                <w:bCs/>
                <w:sz w:val="22"/>
                <w:szCs w:val="22"/>
                <w:lang w:val="en-US"/>
              </w:rPr>
              <w:t>0.029</w:t>
            </w:r>
          </w:p>
        </w:tc>
      </w:tr>
      <w:tr w:rsidR="00E156FC" w:rsidRPr="00FA5819" w14:paraId="7320DE69" w14:textId="77777777" w:rsidTr="00F47F12">
        <w:tc>
          <w:tcPr>
            <w:tcW w:w="1200" w:type="pct"/>
            <w:tcBorders>
              <w:top w:val="nil"/>
            </w:tcBorders>
          </w:tcPr>
          <w:p w14:paraId="7FFDCC0C" w14:textId="77777777" w:rsidR="00E156FC" w:rsidRPr="00FA5819" w:rsidRDefault="00E156FC" w:rsidP="00F47F12">
            <w:pPr>
              <w:spacing w:line="240" w:lineRule="auto"/>
              <w:rPr>
                <w:bCs/>
                <w:sz w:val="22"/>
                <w:szCs w:val="22"/>
                <w:lang w:val="en-US"/>
              </w:rPr>
            </w:pPr>
            <w:r w:rsidRPr="00FA5819">
              <w:rPr>
                <w:bCs/>
                <w:sz w:val="22"/>
                <w:szCs w:val="22"/>
                <w:lang w:val="en-US"/>
              </w:rPr>
              <w:t>Volatile fatty acid</w:t>
            </w:r>
          </w:p>
        </w:tc>
        <w:tc>
          <w:tcPr>
            <w:tcW w:w="532" w:type="pct"/>
            <w:tcBorders>
              <w:top w:val="nil"/>
            </w:tcBorders>
          </w:tcPr>
          <w:p w14:paraId="4689D588" w14:textId="77777777" w:rsidR="00E156FC" w:rsidRPr="00FA5819" w:rsidRDefault="00E156FC" w:rsidP="00F47F12">
            <w:pPr>
              <w:spacing w:line="240" w:lineRule="auto"/>
              <w:jc w:val="center"/>
              <w:rPr>
                <w:bCs/>
                <w:sz w:val="22"/>
                <w:szCs w:val="22"/>
                <w:lang w:val="en-US"/>
              </w:rPr>
            </w:pPr>
          </w:p>
        </w:tc>
        <w:tc>
          <w:tcPr>
            <w:tcW w:w="475" w:type="pct"/>
            <w:tcBorders>
              <w:top w:val="nil"/>
            </w:tcBorders>
          </w:tcPr>
          <w:p w14:paraId="30D18EE9" w14:textId="77777777" w:rsidR="00E156FC" w:rsidRPr="00FA5819" w:rsidRDefault="00E156FC" w:rsidP="00F47F12">
            <w:pPr>
              <w:spacing w:line="240" w:lineRule="auto"/>
              <w:jc w:val="center"/>
              <w:rPr>
                <w:bCs/>
                <w:sz w:val="22"/>
                <w:szCs w:val="22"/>
                <w:lang w:val="en-US"/>
              </w:rPr>
            </w:pPr>
          </w:p>
        </w:tc>
        <w:tc>
          <w:tcPr>
            <w:tcW w:w="475" w:type="pct"/>
            <w:tcBorders>
              <w:top w:val="nil"/>
            </w:tcBorders>
          </w:tcPr>
          <w:p w14:paraId="72644593" w14:textId="77777777" w:rsidR="00E156FC" w:rsidRPr="00FA5819" w:rsidRDefault="00E156FC" w:rsidP="00F47F12">
            <w:pPr>
              <w:spacing w:line="240" w:lineRule="auto"/>
              <w:jc w:val="center"/>
              <w:rPr>
                <w:bCs/>
                <w:sz w:val="22"/>
                <w:szCs w:val="22"/>
                <w:lang w:val="en-US"/>
              </w:rPr>
            </w:pPr>
          </w:p>
        </w:tc>
        <w:tc>
          <w:tcPr>
            <w:tcW w:w="475" w:type="pct"/>
            <w:tcBorders>
              <w:top w:val="nil"/>
            </w:tcBorders>
          </w:tcPr>
          <w:p w14:paraId="0BCE1CCE" w14:textId="77777777" w:rsidR="00E156FC" w:rsidRPr="00FA5819" w:rsidRDefault="00E156FC" w:rsidP="00F47F12">
            <w:pPr>
              <w:spacing w:line="240" w:lineRule="auto"/>
              <w:jc w:val="center"/>
              <w:rPr>
                <w:bCs/>
                <w:sz w:val="22"/>
                <w:szCs w:val="22"/>
                <w:lang w:val="en-US"/>
              </w:rPr>
            </w:pPr>
          </w:p>
        </w:tc>
        <w:tc>
          <w:tcPr>
            <w:tcW w:w="458" w:type="pct"/>
            <w:tcBorders>
              <w:top w:val="nil"/>
            </w:tcBorders>
          </w:tcPr>
          <w:p w14:paraId="7D33BCCF" w14:textId="77777777" w:rsidR="00E156FC" w:rsidRPr="00FA5819" w:rsidRDefault="00E156FC" w:rsidP="00F47F12">
            <w:pPr>
              <w:spacing w:line="240" w:lineRule="auto"/>
              <w:jc w:val="center"/>
              <w:rPr>
                <w:bCs/>
                <w:sz w:val="22"/>
                <w:szCs w:val="22"/>
                <w:lang w:val="en-US"/>
              </w:rPr>
            </w:pPr>
          </w:p>
        </w:tc>
        <w:tc>
          <w:tcPr>
            <w:tcW w:w="475" w:type="pct"/>
            <w:tcBorders>
              <w:top w:val="nil"/>
            </w:tcBorders>
          </w:tcPr>
          <w:p w14:paraId="44DF5752" w14:textId="77777777" w:rsidR="00E156FC" w:rsidRPr="00FA5819" w:rsidRDefault="00E156FC" w:rsidP="00F47F12">
            <w:pPr>
              <w:spacing w:line="240" w:lineRule="auto"/>
              <w:jc w:val="center"/>
              <w:rPr>
                <w:bCs/>
                <w:sz w:val="22"/>
                <w:szCs w:val="22"/>
                <w:lang w:val="en-US"/>
              </w:rPr>
            </w:pPr>
          </w:p>
        </w:tc>
        <w:tc>
          <w:tcPr>
            <w:tcW w:w="391" w:type="pct"/>
            <w:tcBorders>
              <w:top w:val="nil"/>
            </w:tcBorders>
          </w:tcPr>
          <w:p w14:paraId="4725C406" w14:textId="77777777" w:rsidR="00E156FC" w:rsidRPr="00FA5819" w:rsidRDefault="00E156FC" w:rsidP="00F47F12">
            <w:pPr>
              <w:spacing w:line="240" w:lineRule="auto"/>
              <w:jc w:val="center"/>
              <w:rPr>
                <w:bCs/>
                <w:sz w:val="22"/>
                <w:szCs w:val="22"/>
                <w:lang w:val="en-US"/>
              </w:rPr>
            </w:pPr>
          </w:p>
        </w:tc>
        <w:tc>
          <w:tcPr>
            <w:tcW w:w="518" w:type="pct"/>
            <w:tcBorders>
              <w:top w:val="nil"/>
            </w:tcBorders>
          </w:tcPr>
          <w:p w14:paraId="0EDDEEDA" w14:textId="77777777" w:rsidR="00E156FC" w:rsidRPr="00FA5819" w:rsidRDefault="00E156FC" w:rsidP="00F47F12">
            <w:pPr>
              <w:spacing w:line="240" w:lineRule="auto"/>
              <w:jc w:val="center"/>
              <w:rPr>
                <w:bCs/>
                <w:sz w:val="22"/>
                <w:szCs w:val="22"/>
                <w:lang w:val="en-US"/>
              </w:rPr>
            </w:pPr>
          </w:p>
        </w:tc>
      </w:tr>
      <w:tr w:rsidR="00E156FC" w:rsidRPr="00FA5819" w14:paraId="59140872" w14:textId="77777777" w:rsidTr="00F47F12">
        <w:tc>
          <w:tcPr>
            <w:tcW w:w="1200" w:type="pct"/>
          </w:tcPr>
          <w:p w14:paraId="4F014B58" w14:textId="77777777" w:rsidR="00E156FC" w:rsidRPr="00FA5819" w:rsidRDefault="00E156FC" w:rsidP="00F47F12">
            <w:pPr>
              <w:spacing w:line="240" w:lineRule="auto"/>
              <w:ind w:left="176"/>
              <w:rPr>
                <w:bCs/>
                <w:sz w:val="22"/>
                <w:szCs w:val="22"/>
                <w:lang w:val="en-US"/>
              </w:rPr>
            </w:pPr>
            <w:r w:rsidRPr="00FA5819">
              <w:rPr>
                <w:bCs/>
                <w:sz w:val="22"/>
                <w:szCs w:val="22"/>
                <w:lang w:val="en-US"/>
              </w:rPr>
              <w:t>Total (mmol)</w:t>
            </w:r>
          </w:p>
        </w:tc>
        <w:tc>
          <w:tcPr>
            <w:tcW w:w="532" w:type="pct"/>
          </w:tcPr>
          <w:p w14:paraId="7FB449B4" w14:textId="77777777" w:rsidR="00E156FC" w:rsidRPr="00FA5819" w:rsidRDefault="00E156FC" w:rsidP="00F47F12">
            <w:pPr>
              <w:spacing w:line="240" w:lineRule="auto"/>
              <w:jc w:val="center"/>
              <w:rPr>
                <w:bCs/>
                <w:sz w:val="22"/>
                <w:szCs w:val="22"/>
                <w:lang w:val="en-US"/>
              </w:rPr>
            </w:pPr>
            <w:r w:rsidRPr="00FA5819">
              <w:rPr>
                <w:bCs/>
                <w:sz w:val="22"/>
                <w:szCs w:val="22"/>
                <w:lang w:val="en-US"/>
              </w:rPr>
              <w:t>2.00</w:t>
            </w:r>
            <w:r w:rsidRPr="00FA5819">
              <w:rPr>
                <w:bCs/>
                <w:sz w:val="22"/>
                <w:szCs w:val="22"/>
                <w:vertAlign w:val="superscript"/>
                <w:lang w:val="en-US"/>
              </w:rPr>
              <w:t>a</w:t>
            </w:r>
          </w:p>
        </w:tc>
        <w:tc>
          <w:tcPr>
            <w:tcW w:w="475" w:type="pct"/>
          </w:tcPr>
          <w:p w14:paraId="427C7D52" w14:textId="77777777" w:rsidR="00E156FC" w:rsidRPr="00FA5819" w:rsidRDefault="00E156FC" w:rsidP="00F47F12">
            <w:pPr>
              <w:spacing w:line="240" w:lineRule="auto"/>
              <w:jc w:val="center"/>
              <w:rPr>
                <w:bCs/>
                <w:sz w:val="22"/>
                <w:szCs w:val="22"/>
                <w:lang w:val="en-US"/>
              </w:rPr>
            </w:pPr>
            <w:r w:rsidRPr="00FA5819">
              <w:rPr>
                <w:bCs/>
                <w:sz w:val="22"/>
                <w:szCs w:val="22"/>
                <w:lang w:val="en-US"/>
              </w:rPr>
              <w:t>1.85</w:t>
            </w:r>
            <w:r w:rsidRPr="00FA5819">
              <w:rPr>
                <w:bCs/>
                <w:sz w:val="22"/>
                <w:szCs w:val="22"/>
                <w:vertAlign w:val="superscript"/>
                <w:lang w:val="en-US"/>
              </w:rPr>
              <w:t>ab</w:t>
            </w:r>
          </w:p>
        </w:tc>
        <w:tc>
          <w:tcPr>
            <w:tcW w:w="475" w:type="pct"/>
          </w:tcPr>
          <w:p w14:paraId="3CE0813D" w14:textId="77777777" w:rsidR="00E156FC" w:rsidRPr="00FA5819" w:rsidRDefault="00E156FC" w:rsidP="00F47F12">
            <w:pPr>
              <w:spacing w:line="240" w:lineRule="auto"/>
              <w:jc w:val="center"/>
              <w:rPr>
                <w:bCs/>
                <w:sz w:val="22"/>
                <w:szCs w:val="22"/>
                <w:lang w:val="en-US"/>
              </w:rPr>
            </w:pPr>
            <w:r w:rsidRPr="00FA5819">
              <w:rPr>
                <w:bCs/>
                <w:sz w:val="22"/>
                <w:szCs w:val="22"/>
                <w:lang w:val="en-US"/>
              </w:rPr>
              <w:t>1.84</w:t>
            </w:r>
            <w:r w:rsidRPr="00FA5819">
              <w:rPr>
                <w:bCs/>
                <w:sz w:val="22"/>
                <w:szCs w:val="22"/>
                <w:vertAlign w:val="superscript"/>
                <w:lang w:val="en-US"/>
              </w:rPr>
              <w:t>a</w:t>
            </w:r>
          </w:p>
        </w:tc>
        <w:tc>
          <w:tcPr>
            <w:tcW w:w="475" w:type="pct"/>
          </w:tcPr>
          <w:p w14:paraId="0BCAE1D2" w14:textId="77777777" w:rsidR="00E156FC" w:rsidRPr="00FA5819" w:rsidRDefault="00E156FC" w:rsidP="00F47F12">
            <w:pPr>
              <w:spacing w:line="240" w:lineRule="auto"/>
              <w:jc w:val="center"/>
              <w:rPr>
                <w:bCs/>
                <w:sz w:val="22"/>
                <w:szCs w:val="22"/>
                <w:lang w:val="en-US"/>
              </w:rPr>
            </w:pPr>
            <w:r w:rsidRPr="00FA5819">
              <w:rPr>
                <w:bCs/>
                <w:sz w:val="22"/>
                <w:szCs w:val="22"/>
                <w:lang w:val="en-US"/>
              </w:rPr>
              <w:t>1.66</w:t>
            </w:r>
            <w:r w:rsidRPr="00FA5819">
              <w:rPr>
                <w:bCs/>
                <w:sz w:val="22"/>
                <w:szCs w:val="22"/>
                <w:vertAlign w:val="superscript"/>
                <w:lang w:val="en-US"/>
              </w:rPr>
              <w:t>ab</w:t>
            </w:r>
          </w:p>
        </w:tc>
        <w:tc>
          <w:tcPr>
            <w:tcW w:w="458" w:type="pct"/>
          </w:tcPr>
          <w:p w14:paraId="0145F4E8" w14:textId="77777777" w:rsidR="00E156FC" w:rsidRPr="00FA5819" w:rsidRDefault="00E156FC" w:rsidP="00F47F12">
            <w:pPr>
              <w:spacing w:line="240" w:lineRule="auto"/>
              <w:jc w:val="center"/>
              <w:rPr>
                <w:bCs/>
                <w:sz w:val="22"/>
                <w:szCs w:val="22"/>
                <w:lang w:val="en-US"/>
              </w:rPr>
            </w:pPr>
            <w:r w:rsidRPr="00FA5819">
              <w:rPr>
                <w:bCs/>
                <w:sz w:val="22"/>
                <w:szCs w:val="22"/>
                <w:lang w:val="en-US"/>
              </w:rPr>
              <w:t>1.51</w:t>
            </w:r>
            <w:r w:rsidRPr="00FA5819">
              <w:rPr>
                <w:bCs/>
                <w:sz w:val="22"/>
                <w:szCs w:val="22"/>
                <w:vertAlign w:val="superscript"/>
                <w:lang w:val="en-US"/>
              </w:rPr>
              <w:t>b</w:t>
            </w:r>
          </w:p>
        </w:tc>
        <w:tc>
          <w:tcPr>
            <w:tcW w:w="475" w:type="pct"/>
          </w:tcPr>
          <w:p w14:paraId="73D123EC" w14:textId="77777777" w:rsidR="00E156FC" w:rsidRPr="00FA5819" w:rsidRDefault="00E156FC" w:rsidP="00F47F12">
            <w:pPr>
              <w:spacing w:line="240" w:lineRule="auto"/>
              <w:jc w:val="center"/>
              <w:rPr>
                <w:bCs/>
                <w:sz w:val="22"/>
                <w:szCs w:val="22"/>
                <w:lang w:val="en-US"/>
              </w:rPr>
            </w:pPr>
            <w:r w:rsidRPr="00FA5819">
              <w:rPr>
                <w:bCs/>
                <w:sz w:val="22"/>
                <w:szCs w:val="22"/>
                <w:lang w:val="en-US"/>
              </w:rPr>
              <w:t>1.74</w:t>
            </w:r>
            <w:r w:rsidRPr="00FA5819">
              <w:rPr>
                <w:bCs/>
                <w:sz w:val="22"/>
                <w:szCs w:val="22"/>
                <w:vertAlign w:val="superscript"/>
                <w:lang w:val="en-US"/>
              </w:rPr>
              <w:t>ab</w:t>
            </w:r>
          </w:p>
        </w:tc>
        <w:tc>
          <w:tcPr>
            <w:tcW w:w="391" w:type="pct"/>
          </w:tcPr>
          <w:p w14:paraId="395C050E" w14:textId="77777777" w:rsidR="00E156FC" w:rsidRPr="00FA5819" w:rsidRDefault="00E156FC" w:rsidP="00F47F12">
            <w:pPr>
              <w:spacing w:line="240" w:lineRule="auto"/>
              <w:jc w:val="center"/>
              <w:rPr>
                <w:bCs/>
                <w:sz w:val="22"/>
                <w:szCs w:val="22"/>
                <w:lang w:val="en-US"/>
              </w:rPr>
            </w:pPr>
            <w:r w:rsidRPr="00FA5819">
              <w:rPr>
                <w:bCs/>
                <w:sz w:val="22"/>
                <w:szCs w:val="22"/>
                <w:lang w:val="en-US"/>
              </w:rPr>
              <w:t>0.27</w:t>
            </w:r>
          </w:p>
        </w:tc>
        <w:tc>
          <w:tcPr>
            <w:tcW w:w="518" w:type="pct"/>
          </w:tcPr>
          <w:p w14:paraId="1A3AB3E5" w14:textId="77777777" w:rsidR="00E156FC" w:rsidRPr="00FA5819" w:rsidRDefault="00E156FC" w:rsidP="00F47F12">
            <w:pPr>
              <w:spacing w:line="240" w:lineRule="auto"/>
              <w:jc w:val="center"/>
              <w:rPr>
                <w:bCs/>
                <w:sz w:val="22"/>
                <w:szCs w:val="22"/>
                <w:lang w:val="en-US"/>
              </w:rPr>
            </w:pPr>
            <w:r w:rsidRPr="00FA5819">
              <w:rPr>
                <w:bCs/>
                <w:sz w:val="22"/>
                <w:szCs w:val="22"/>
                <w:lang w:val="en-US"/>
              </w:rPr>
              <w:t>0.014</w:t>
            </w:r>
          </w:p>
        </w:tc>
      </w:tr>
      <w:tr w:rsidR="00E156FC" w:rsidRPr="00FA5819" w14:paraId="17F6E290" w14:textId="77777777" w:rsidTr="00F47F12">
        <w:tc>
          <w:tcPr>
            <w:tcW w:w="1200" w:type="pct"/>
          </w:tcPr>
          <w:p w14:paraId="7094D65A" w14:textId="77777777" w:rsidR="00E156FC" w:rsidRPr="00FA5819" w:rsidRDefault="00E156FC" w:rsidP="00F47F12">
            <w:pPr>
              <w:spacing w:line="240" w:lineRule="auto"/>
              <w:ind w:left="176"/>
              <w:rPr>
                <w:bCs/>
                <w:sz w:val="22"/>
                <w:szCs w:val="22"/>
                <w:lang w:val="en-US"/>
              </w:rPr>
            </w:pPr>
            <w:r w:rsidRPr="00FA5819">
              <w:rPr>
                <w:bCs/>
                <w:sz w:val="22"/>
                <w:szCs w:val="22"/>
                <w:lang w:val="en-US"/>
              </w:rPr>
              <w:t>Total (mmol/g DM)</w:t>
            </w:r>
          </w:p>
        </w:tc>
        <w:tc>
          <w:tcPr>
            <w:tcW w:w="532" w:type="pct"/>
          </w:tcPr>
          <w:p w14:paraId="18F02BD7" w14:textId="77777777" w:rsidR="00E156FC" w:rsidRPr="00FA5819" w:rsidRDefault="00E156FC" w:rsidP="00F47F12">
            <w:pPr>
              <w:spacing w:line="240" w:lineRule="auto"/>
              <w:jc w:val="center"/>
              <w:rPr>
                <w:bCs/>
                <w:sz w:val="22"/>
                <w:szCs w:val="22"/>
                <w:lang w:val="en-US"/>
              </w:rPr>
            </w:pPr>
            <w:r w:rsidRPr="00FA5819">
              <w:rPr>
                <w:bCs/>
                <w:sz w:val="22"/>
                <w:szCs w:val="22"/>
                <w:lang w:val="en-US"/>
              </w:rPr>
              <w:t>3.99</w:t>
            </w:r>
            <w:r w:rsidRPr="00FA5819">
              <w:rPr>
                <w:bCs/>
                <w:sz w:val="22"/>
                <w:szCs w:val="22"/>
                <w:vertAlign w:val="superscript"/>
                <w:lang w:val="en-US"/>
              </w:rPr>
              <w:t>a</w:t>
            </w:r>
          </w:p>
        </w:tc>
        <w:tc>
          <w:tcPr>
            <w:tcW w:w="475" w:type="pct"/>
          </w:tcPr>
          <w:p w14:paraId="50CE955F" w14:textId="77777777" w:rsidR="00E156FC" w:rsidRPr="00FA5819" w:rsidRDefault="00E156FC" w:rsidP="00F47F12">
            <w:pPr>
              <w:spacing w:line="240" w:lineRule="auto"/>
              <w:jc w:val="center"/>
              <w:rPr>
                <w:bCs/>
                <w:sz w:val="22"/>
                <w:szCs w:val="22"/>
                <w:lang w:val="en-US"/>
              </w:rPr>
            </w:pPr>
            <w:r w:rsidRPr="00FA5819">
              <w:rPr>
                <w:bCs/>
                <w:sz w:val="22"/>
                <w:szCs w:val="22"/>
                <w:lang w:val="en-US"/>
              </w:rPr>
              <w:t>3.71</w:t>
            </w:r>
            <w:r w:rsidRPr="00FA5819">
              <w:rPr>
                <w:bCs/>
                <w:sz w:val="22"/>
                <w:szCs w:val="22"/>
                <w:vertAlign w:val="superscript"/>
                <w:lang w:val="en-US"/>
              </w:rPr>
              <w:t>ab</w:t>
            </w:r>
          </w:p>
        </w:tc>
        <w:tc>
          <w:tcPr>
            <w:tcW w:w="475" w:type="pct"/>
          </w:tcPr>
          <w:p w14:paraId="2045352E" w14:textId="77777777" w:rsidR="00E156FC" w:rsidRPr="00FA5819" w:rsidRDefault="00E156FC" w:rsidP="00F47F12">
            <w:pPr>
              <w:spacing w:line="240" w:lineRule="auto"/>
              <w:jc w:val="center"/>
              <w:rPr>
                <w:bCs/>
                <w:sz w:val="22"/>
                <w:szCs w:val="22"/>
                <w:lang w:val="en-US"/>
              </w:rPr>
            </w:pPr>
            <w:r w:rsidRPr="00FA5819">
              <w:rPr>
                <w:bCs/>
                <w:sz w:val="22"/>
                <w:szCs w:val="22"/>
                <w:lang w:val="en-US"/>
              </w:rPr>
              <w:t>3.68</w:t>
            </w:r>
            <w:r w:rsidRPr="00FA5819">
              <w:rPr>
                <w:bCs/>
                <w:sz w:val="22"/>
                <w:szCs w:val="22"/>
                <w:vertAlign w:val="superscript"/>
                <w:lang w:val="en-US"/>
              </w:rPr>
              <w:t>a</w:t>
            </w:r>
          </w:p>
        </w:tc>
        <w:tc>
          <w:tcPr>
            <w:tcW w:w="475" w:type="pct"/>
          </w:tcPr>
          <w:p w14:paraId="1A15ED1F" w14:textId="77777777" w:rsidR="00E156FC" w:rsidRPr="00FA5819" w:rsidRDefault="00E156FC" w:rsidP="00F47F12">
            <w:pPr>
              <w:spacing w:line="240" w:lineRule="auto"/>
              <w:jc w:val="center"/>
              <w:rPr>
                <w:bCs/>
                <w:sz w:val="22"/>
                <w:szCs w:val="22"/>
                <w:lang w:val="en-US"/>
              </w:rPr>
            </w:pPr>
            <w:r w:rsidRPr="00FA5819">
              <w:rPr>
                <w:bCs/>
                <w:sz w:val="22"/>
                <w:szCs w:val="22"/>
                <w:lang w:val="en-US"/>
              </w:rPr>
              <w:t>3.33</w:t>
            </w:r>
            <w:r w:rsidRPr="00FA5819">
              <w:rPr>
                <w:bCs/>
                <w:sz w:val="22"/>
                <w:szCs w:val="22"/>
                <w:vertAlign w:val="superscript"/>
                <w:lang w:val="en-US"/>
              </w:rPr>
              <w:t>ab</w:t>
            </w:r>
          </w:p>
        </w:tc>
        <w:tc>
          <w:tcPr>
            <w:tcW w:w="458" w:type="pct"/>
          </w:tcPr>
          <w:p w14:paraId="563675B5" w14:textId="77777777" w:rsidR="00E156FC" w:rsidRPr="00FA5819" w:rsidRDefault="00E156FC" w:rsidP="00F47F12">
            <w:pPr>
              <w:spacing w:line="240" w:lineRule="auto"/>
              <w:jc w:val="center"/>
              <w:rPr>
                <w:bCs/>
                <w:sz w:val="22"/>
                <w:szCs w:val="22"/>
                <w:lang w:val="en-US"/>
              </w:rPr>
            </w:pPr>
            <w:r w:rsidRPr="00FA5819">
              <w:rPr>
                <w:bCs/>
                <w:sz w:val="22"/>
                <w:szCs w:val="22"/>
                <w:lang w:val="en-US"/>
              </w:rPr>
              <w:t>3.02</w:t>
            </w:r>
            <w:r w:rsidRPr="00FA5819">
              <w:rPr>
                <w:bCs/>
                <w:sz w:val="22"/>
                <w:szCs w:val="22"/>
                <w:vertAlign w:val="superscript"/>
                <w:lang w:val="en-US"/>
              </w:rPr>
              <w:t>b</w:t>
            </w:r>
          </w:p>
        </w:tc>
        <w:tc>
          <w:tcPr>
            <w:tcW w:w="475" w:type="pct"/>
          </w:tcPr>
          <w:p w14:paraId="024E8A7B" w14:textId="77777777" w:rsidR="00E156FC" w:rsidRPr="00FA5819" w:rsidRDefault="00E156FC" w:rsidP="00F47F12">
            <w:pPr>
              <w:spacing w:line="240" w:lineRule="auto"/>
              <w:jc w:val="center"/>
              <w:rPr>
                <w:bCs/>
                <w:sz w:val="22"/>
                <w:szCs w:val="22"/>
                <w:lang w:val="en-US"/>
              </w:rPr>
            </w:pPr>
            <w:r w:rsidRPr="00FA5819">
              <w:rPr>
                <w:bCs/>
                <w:sz w:val="22"/>
                <w:szCs w:val="22"/>
                <w:lang w:val="en-US"/>
              </w:rPr>
              <w:t>3.49</w:t>
            </w:r>
            <w:r w:rsidRPr="00FA5819">
              <w:rPr>
                <w:bCs/>
                <w:sz w:val="22"/>
                <w:szCs w:val="22"/>
                <w:vertAlign w:val="superscript"/>
                <w:lang w:val="en-US"/>
              </w:rPr>
              <w:t>ab</w:t>
            </w:r>
          </w:p>
        </w:tc>
        <w:tc>
          <w:tcPr>
            <w:tcW w:w="391" w:type="pct"/>
          </w:tcPr>
          <w:p w14:paraId="1A234F7A" w14:textId="77777777" w:rsidR="00E156FC" w:rsidRPr="00FA5819" w:rsidRDefault="00E156FC" w:rsidP="00F47F12">
            <w:pPr>
              <w:spacing w:line="240" w:lineRule="auto"/>
              <w:jc w:val="center"/>
              <w:rPr>
                <w:bCs/>
                <w:sz w:val="22"/>
                <w:szCs w:val="22"/>
                <w:lang w:val="en-US"/>
              </w:rPr>
            </w:pPr>
            <w:r w:rsidRPr="00FA5819">
              <w:rPr>
                <w:bCs/>
                <w:sz w:val="22"/>
                <w:szCs w:val="22"/>
                <w:lang w:val="en-US"/>
              </w:rPr>
              <w:t>0.54</w:t>
            </w:r>
          </w:p>
        </w:tc>
        <w:tc>
          <w:tcPr>
            <w:tcW w:w="518" w:type="pct"/>
          </w:tcPr>
          <w:p w14:paraId="57ACB70A" w14:textId="77777777" w:rsidR="00E156FC" w:rsidRPr="00FA5819" w:rsidRDefault="00E156FC" w:rsidP="00F47F12">
            <w:pPr>
              <w:spacing w:line="240" w:lineRule="auto"/>
              <w:jc w:val="center"/>
              <w:rPr>
                <w:bCs/>
                <w:sz w:val="22"/>
                <w:szCs w:val="22"/>
                <w:lang w:val="en-US"/>
              </w:rPr>
            </w:pPr>
            <w:r w:rsidRPr="00FA5819">
              <w:rPr>
                <w:bCs/>
                <w:sz w:val="22"/>
                <w:szCs w:val="22"/>
                <w:lang w:val="en-US"/>
              </w:rPr>
              <w:t>0.014</w:t>
            </w:r>
          </w:p>
        </w:tc>
      </w:tr>
      <w:tr w:rsidR="00E156FC" w:rsidRPr="00FA5819" w14:paraId="2CB083F2" w14:textId="77777777" w:rsidTr="00F47F12">
        <w:tc>
          <w:tcPr>
            <w:tcW w:w="1200" w:type="pct"/>
          </w:tcPr>
          <w:p w14:paraId="755E5F50" w14:textId="77777777" w:rsidR="00E156FC" w:rsidRPr="00FA5819" w:rsidRDefault="00E156FC" w:rsidP="00F47F12">
            <w:pPr>
              <w:spacing w:line="240" w:lineRule="auto"/>
              <w:ind w:left="176"/>
              <w:rPr>
                <w:bCs/>
                <w:sz w:val="22"/>
                <w:szCs w:val="22"/>
                <w:lang w:val="en-US"/>
              </w:rPr>
            </w:pPr>
            <w:r w:rsidRPr="00FA5819">
              <w:rPr>
                <w:bCs/>
                <w:sz w:val="22"/>
                <w:szCs w:val="22"/>
                <w:lang w:val="en-US"/>
              </w:rPr>
              <w:t>Acetate, C2 (%)</w:t>
            </w:r>
          </w:p>
        </w:tc>
        <w:tc>
          <w:tcPr>
            <w:tcW w:w="532" w:type="pct"/>
          </w:tcPr>
          <w:p w14:paraId="407B7853" w14:textId="51AD6809" w:rsidR="00E156FC" w:rsidRPr="00FA5819" w:rsidRDefault="00E156FC" w:rsidP="00F47F12">
            <w:pPr>
              <w:spacing w:line="240" w:lineRule="auto"/>
              <w:jc w:val="center"/>
              <w:rPr>
                <w:bCs/>
                <w:sz w:val="22"/>
                <w:szCs w:val="22"/>
                <w:lang w:val="en-US"/>
              </w:rPr>
            </w:pPr>
            <w:r w:rsidRPr="00FA5819">
              <w:rPr>
                <w:bCs/>
                <w:sz w:val="22"/>
                <w:szCs w:val="22"/>
                <w:lang w:val="en-US"/>
              </w:rPr>
              <w:t>71.5</w:t>
            </w:r>
            <w:r w:rsidRPr="00FA5819">
              <w:rPr>
                <w:bCs/>
                <w:sz w:val="22"/>
                <w:szCs w:val="22"/>
                <w:vertAlign w:val="superscript"/>
                <w:lang w:val="en-US"/>
              </w:rPr>
              <w:t>a</w:t>
            </w:r>
          </w:p>
        </w:tc>
        <w:tc>
          <w:tcPr>
            <w:tcW w:w="475" w:type="pct"/>
          </w:tcPr>
          <w:p w14:paraId="5BC3D028" w14:textId="047D0C32" w:rsidR="00E156FC" w:rsidRPr="00FA5819" w:rsidRDefault="00E156FC" w:rsidP="00F47F12">
            <w:pPr>
              <w:spacing w:line="240" w:lineRule="auto"/>
              <w:jc w:val="center"/>
              <w:rPr>
                <w:bCs/>
                <w:sz w:val="22"/>
                <w:szCs w:val="22"/>
                <w:lang w:val="en-US"/>
              </w:rPr>
            </w:pPr>
            <w:r w:rsidRPr="00FA5819">
              <w:rPr>
                <w:bCs/>
                <w:sz w:val="22"/>
                <w:szCs w:val="22"/>
                <w:lang w:val="en-US"/>
              </w:rPr>
              <w:t>71.2</w:t>
            </w:r>
            <w:r w:rsidRPr="00FA5819">
              <w:rPr>
                <w:bCs/>
                <w:sz w:val="22"/>
                <w:szCs w:val="22"/>
                <w:vertAlign w:val="superscript"/>
                <w:lang w:val="en-US"/>
              </w:rPr>
              <w:t>a</w:t>
            </w:r>
          </w:p>
        </w:tc>
        <w:tc>
          <w:tcPr>
            <w:tcW w:w="475" w:type="pct"/>
          </w:tcPr>
          <w:p w14:paraId="02157DBB" w14:textId="4C49955B" w:rsidR="00E156FC" w:rsidRPr="00FA5819" w:rsidRDefault="00E156FC" w:rsidP="00F47F12">
            <w:pPr>
              <w:spacing w:line="240" w:lineRule="auto"/>
              <w:jc w:val="center"/>
              <w:rPr>
                <w:bCs/>
                <w:sz w:val="22"/>
                <w:szCs w:val="22"/>
                <w:lang w:val="en-US"/>
              </w:rPr>
            </w:pPr>
            <w:r w:rsidRPr="00FA5819">
              <w:rPr>
                <w:bCs/>
                <w:sz w:val="22"/>
                <w:szCs w:val="22"/>
                <w:lang w:val="en-US"/>
              </w:rPr>
              <w:t>70.9</w:t>
            </w:r>
            <w:r w:rsidRPr="00FA5819">
              <w:rPr>
                <w:bCs/>
                <w:sz w:val="22"/>
                <w:szCs w:val="22"/>
                <w:vertAlign w:val="superscript"/>
                <w:lang w:val="en-US"/>
              </w:rPr>
              <w:t>ab</w:t>
            </w:r>
          </w:p>
        </w:tc>
        <w:tc>
          <w:tcPr>
            <w:tcW w:w="475" w:type="pct"/>
          </w:tcPr>
          <w:p w14:paraId="0D851154" w14:textId="17FCFAF1" w:rsidR="00E156FC" w:rsidRPr="00FA5819" w:rsidRDefault="00E156FC" w:rsidP="00F47F12">
            <w:pPr>
              <w:spacing w:line="240" w:lineRule="auto"/>
              <w:jc w:val="center"/>
              <w:rPr>
                <w:bCs/>
                <w:sz w:val="22"/>
                <w:szCs w:val="22"/>
                <w:lang w:val="en-US"/>
              </w:rPr>
            </w:pPr>
            <w:r w:rsidRPr="00FA5819">
              <w:rPr>
                <w:bCs/>
                <w:sz w:val="22"/>
                <w:szCs w:val="22"/>
                <w:lang w:val="en-US"/>
              </w:rPr>
              <w:t>7</w:t>
            </w:r>
            <w:r w:rsidR="00211503">
              <w:rPr>
                <w:bCs/>
                <w:sz w:val="22"/>
                <w:szCs w:val="22"/>
                <w:lang w:val="en-US"/>
              </w:rPr>
              <w:t>1.0</w:t>
            </w:r>
            <w:r w:rsidRPr="00FA5819">
              <w:rPr>
                <w:bCs/>
                <w:sz w:val="22"/>
                <w:szCs w:val="22"/>
                <w:vertAlign w:val="superscript"/>
                <w:lang w:val="en-US"/>
              </w:rPr>
              <w:t>ab</w:t>
            </w:r>
          </w:p>
        </w:tc>
        <w:tc>
          <w:tcPr>
            <w:tcW w:w="458" w:type="pct"/>
          </w:tcPr>
          <w:p w14:paraId="44F6854E" w14:textId="1349DEBD" w:rsidR="00E156FC" w:rsidRPr="00FA5819" w:rsidRDefault="00E156FC" w:rsidP="00F47F12">
            <w:pPr>
              <w:spacing w:line="240" w:lineRule="auto"/>
              <w:jc w:val="center"/>
              <w:rPr>
                <w:bCs/>
                <w:sz w:val="22"/>
                <w:szCs w:val="22"/>
                <w:lang w:val="en-US"/>
              </w:rPr>
            </w:pPr>
            <w:r w:rsidRPr="00FA5819">
              <w:rPr>
                <w:bCs/>
                <w:sz w:val="22"/>
                <w:szCs w:val="22"/>
                <w:lang w:val="en-US"/>
              </w:rPr>
              <w:t>70.</w:t>
            </w:r>
            <w:r w:rsidR="00211503">
              <w:rPr>
                <w:bCs/>
                <w:sz w:val="22"/>
                <w:szCs w:val="22"/>
                <w:lang w:val="en-US"/>
              </w:rPr>
              <w:t>5</w:t>
            </w:r>
            <w:r w:rsidRPr="00FA5819">
              <w:rPr>
                <w:bCs/>
                <w:sz w:val="22"/>
                <w:szCs w:val="22"/>
                <w:vertAlign w:val="superscript"/>
                <w:lang w:val="en-US"/>
              </w:rPr>
              <w:t>b</w:t>
            </w:r>
          </w:p>
        </w:tc>
        <w:tc>
          <w:tcPr>
            <w:tcW w:w="475" w:type="pct"/>
          </w:tcPr>
          <w:p w14:paraId="4064DE3F" w14:textId="72C4661A" w:rsidR="00E156FC" w:rsidRPr="00FA5819" w:rsidRDefault="00E156FC" w:rsidP="00F47F12">
            <w:pPr>
              <w:spacing w:line="240" w:lineRule="auto"/>
              <w:jc w:val="center"/>
              <w:rPr>
                <w:bCs/>
                <w:sz w:val="22"/>
                <w:szCs w:val="22"/>
                <w:lang w:val="en-US"/>
              </w:rPr>
            </w:pPr>
            <w:r w:rsidRPr="00FA5819">
              <w:rPr>
                <w:bCs/>
                <w:sz w:val="22"/>
                <w:szCs w:val="22"/>
                <w:lang w:val="en-US"/>
              </w:rPr>
              <w:t>70.</w:t>
            </w:r>
            <w:r w:rsidR="00211503">
              <w:rPr>
                <w:bCs/>
                <w:sz w:val="22"/>
                <w:szCs w:val="22"/>
                <w:lang w:val="en-US"/>
              </w:rPr>
              <w:t>9</w:t>
            </w:r>
            <w:r w:rsidRPr="00FA5819">
              <w:rPr>
                <w:bCs/>
                <w:sz w:val="22"/>
                <w:szCs w:val="22"/>
                <w:vertAlign w:val="superscript"/>
                <w:lang w:val="en-US"/>
              </w:rPr>
              <w:t>ab</w:t>
            </w:r>
          </w:p>
        </w:tc>
        <w:tc>
          <w:tcPr>
            <w:tcW w:w="391" w:type="pct"/>
          </w:tcPr>
          <w:p w14:paraId="78AEF9B7" w14:textId="77777777" w:rsidR="00E156FC" w:rsidRPr="00FA5819" w:rsidRDefault="00E156FC" w:rsidP="00F47F12">
            <w:pPr>
              <w:spacing w:line="240" w:lineRule="auto"/>
              <w:jc w:val="center"/>
              <w:rPr>
                <w:bCs/>
                <w:sz w:val="22"/>
                <w:szCs w:val="22"/>
                <w:lang w:val="en-US"/>
              </w:rPr>
            </w:pPr>
            <w:r w:rsidRPr="00FA5819">
              <w:rPr>
                <w:bCs/>
                <w:sz w:val="22"/>
                <w:szCs w:val="22"/>
                <w:lang w:val="en-US"/>
              </w:rPr>
              <w:t>0.66</w:t>
            </w:r>
          </w:p>
        </w:tc>
        <w:tc>
          <w:tcPr>
            <w:tcW w:w="518" w:type="pct"/>
          </w:tcPr>
          <w:p w14:paraId="6BAED1B9" w14:textId="77777777" w:rsidR="00E156FC" w:rsidRPr="00FA5819" w:rsidRDefault="00E156FC" w:rsidP="00F47F12">
            <w:pPr>
              <w:spacing w:line="240" w:lineRule="auto"/>
              <w:jc w:val="center"/>
              <w:rPr>
                <w:bCs/>
                <w:sz w:val="22"/>
                <w:szCs w:val="22"/>
                <w:lang w:val="en-US"/>
              </w:rPr>
            </w:pPr>
            <w:r w:rsidRPr="00FA5819">
              <w:rPr>
                <w:bCs/>
                <w:sz w:val="22"/>
                <w:szCs w:val="22"/>
                <w:lang w:val="en-US"/>
              </w:rPr>
              <w:t>0.008</w:t>
            </w:r>
          </w:p>
        </w:tc>
      </w:tr>
      <w:tr w:rsidR="00E156FC" w:rsidRPr="00FA5819" w14:paraId="6FFD148D" w14:textId="77777777" w:rsidTr="00F47F12">
        <w:tc>
          <w:tcPr>
            <w:tcW w:w="1200" w:type="pct"/>
          </w:tcPr>
          <w:p w14:paraId="0AC29763" w14:textId="77777777" w:rsidR="00E156FC" w:rsidRPr="00FA5819" w:rsidRDefault="00E156FC" w:rsidP="00F47F12">
            <w:pPr>
              <w:spacing w:line="240" w:lineRule="auto"/>
              <w:ind w:left="176"/>
              <w:rPr>
                <w:bCs/>
                <w:sz w:val="22"/>
                <w:szCs w:val="22"/>
                <w:lang w:val="en-US"/>
              </w:rPr>
            </w:pPr>
            <w:r w:rsidRPr="00FA5819">
              <w:rPr>
                <w:bCs/>
                <w:sz w:val="22"/>
                <w:szCs w:val="22"/>
                <w:lang w:val="en-US"/>
              </w:rPr>
              <w:t>Propionate, C3 (%)</w:t>
            </w:r>
          </w:p>
        </w:tc>
        <w:tc>
          <w:tcPr>
            <w:tcW w:w="532" w:type="pct"/>
          </w:tcPr>
          <w:p w14:paraId="6636547B" w14:textId="738DFA04" w:rsidR="00E156FC" w:rsidRPr="00FA5819" w:rsidRDefault="00E156FC" w:rsidP="00F47F12">
            <w:pPr>
              <w:spacing w:line="240" w:lineRule="auto"/>
              <w:jc w:val="center"/>
              <w:rPr>
                <w:bCs/>
                <w:sz w:val="22"/>
                <w:szCs w:val="22"/>
                <w:lang w:val="en-US"/>
              </w:rPr>
            </w:pPr>
            <w:r w:rsidRPr="00FA5819">
              <w:rPr>
                <w:bCs/>
                <w:sz w:val="22"/>
                <w:szCs w:val="22"/>
                <w:lang w:val="en-US"/>
              </w:rPr>
              <w:t>18.0</w:t>
            </w:r>
            <w:r w:rsidRPr="00FA5819">
              <w:rPr>
                <w:bCs/>
                <w:sz w:val="22"/>
                <w:szCs w:val="22"/>
                <w:vertAlign w:val="superscript"/>
                <w:lang w:val="en-US"/>
              </w:rPr>
              <w:t>c</w:t>
            </w:r>
          </w:p>
        </w:tc>
        <w:tc>
          <w:tcPr>
            <w:tcW w:w="475" w:type="pct"/>
          </w:tcPr>
          <w:p w14:paraId="4D53D045" w14:textId="30782EF3" w:rsidR="00E156FC" w:rsidRPr="00FA5819" w:rsidRDefault="00E156FC" w:rsidP="00F47F12">
            <w:pPr>
              <w:spacing w:line="240" w:lineRule="auto"/>
              <w:jc w:val="center"/>
              <w:rPr>
                <w:bCs/>
                <w:sz w:val="22"/>
                <w:szCs w:val="22"/>
                <w:lang w:val="en-US"/>
              </w:rPr>
            </w:pPr>
            <w:r w:rsidRPr="00FA5819">
              <w:rPr>
                <w:bCs/>
                <w:sz w:val="22"/>
                <w:szCs w:val="22"/>
                <w:lang w:val="en-US"/>
              </w:rPr>
              <w:t>18.</w:t>
            </w:r>
            <w:r w:rsidR="00211503">
              <w:rPr>
                <w:bCs/>
                <w:sz w:val="22"/>
                <w:szCs w:val="22"/>
                <w:lang w:val="en-US"/>
              </w:rPr>
              <w:t>6</w:t>
            </w:r>
            <w:r w:rsidRPr="00FA5819">
              <w:rPr>
                <w:bCs/>
                <w:sz w:val="22"/>
                <w:szCs w:val="22"/>
                <w:vertAlign w:val="superscript"/>
                <w:lang w:val="en-US"/>
              </w:rPr>
              <w:t>b</w:t>
            </w:r>
          </w:p>
        </w:tc>
        <w:tc>
          <w:tcPr>
            <w:tcW w:w="475" w:type="pct"/>
          </w:tcPr>
          <w:p w14:paraId="2369BBE3" w14:textId="0E22941B" w:rsidR="00E156FC" w:rsidRPr="00FA5819" w:rsidRDefault="00E156FC" w:rsidP="00F47F12">
            <w:pPr>
              <w:spacing w:line="240" w:lineRule="auto"/>
              <w:jc w:val="center"/>
              <w:rPr>
                <w:bCs/>
                <w:sz w:val="22"/>
                <w:szCs w:val="22"/>
                <w:lang w:val="en-US"/>
              </w:rPr>
            </w:pPr>
            <w:r w:rsidRPr="00FA5819">
              <w:rPr>
                <w:bCs/>
                <w:sz w:val="22"/>
                <w:szCs w:val="22"/>
                <w:lang w:val="en-US"/>
              </w:rPr>
              <w:t>18.</w:t>
            </w:r>
            <w:r w:rsidR="00211503">
              <w:rPr>
                <w:bCs/>
                <w:sz w:val="22"/>
                <w:szCs w:val="22"/>
                <w:lang w:val="en-US"/>
              </w:rPr>
              <w:t>9</w:t>
            </w:r>
            <w:r w:rsidRPr="00FA5819">
              <w:rPr>
                <w:bCs/>
                <w:sz w:val="22"/>
                <w:szCs w:val="22"/>
                <w:vertAlign w:val="superscript"/>
                <w:lang w:val="en-US"/>
              </w:rPr>
              <w:t>ab</w:t>
            </w:r>
          </w:p>
        </w:tc>
        <w:tc>
          <w:tcPr>
            <w:tcW w:w="475" w:type="pct"/>
          </w:tcPr>
          <w:p w14:paraId="2A59BE9F" w14:textId="5F988FA5" w:rsidR="00E156FC" w:rsidRPr="00FA5819" w:rsidRDefault="00E156FC" w:rsidP="00F47F12">
            <w:pPr>
              <w:spacing w:line="240" w:lineRule="auto"/>
              <w:jc w:val="center"/>
              <w:rPr>
                <w:bCs/>
                <w:sz w:val="22"/>
                <w:szCs w:val="22"/>
                <w:lang w:val="en-US"/>
              </w:rPr>
            </w:pPr>
            <w:r w:rsidRPr="00FA5819">
              <w:rPr>
                <w:bCs/>
                <w:sz w:val="22"/>
                <w:szCs w:val="22"/>
                <w:lang w:val="en-US"/>
              </w:rPr>
              <w:t>18.8</w:t>
            </w:r>
            <w:r w:rsidRPr="00FA5819">
              <w:rPr>
                <w:bCs/>
                <w:sz w:val="22"/>
                <w:szCs w:val="22"/>
                <w:vertAlign w:val="superscript"/>
                <w:lang w:val="en-US"/>
              </w:rPr>
              <w:t>ab</w:t>
            </w:r>
          </w:p>
        </w:tc>
        <w:tc>
          <w:tcPr>
            <w:tcW w:w="458" w:type="pct"/>
          </w:tcPr>
          <w:p w14:paraId="4FF2945B" w14:textId="7ACBA3D9" w:rsidR="00E156FC" w:rsidRPr="00FA5819" w:rsidRDefault="00E156FC" w:rsidP="00F47F12">
            <w:pPr>
              <w:spacing w:line="240" w:lineRule="auto"/>
              <w:jc w:val="center"/>
              <w:rPr>
                <w:bCs/>
                <w:sz w:val="22"/>
                <w:szCs w:val="22"/>
                <w:lang w:val="en-US"/>
              </w:rPr>
            </w:pPr>
            <w:r w:rsidRPr="00FA5819">
              <w:rPr>
                <w:bCs/>
                <w:sz w:val="22"/>
                <w:szCs w:val="22"/>
                <w:lang w:val="en-US"/>
              </w:rPr>
              <w:t>19.1</w:t>
            </w:r>
            <w:r w:rsidRPr="00FA5819">
              <w:rPr>
                <w:bCs/>
                <w:sz w:val="22"/>
                <w:szCs w:val="22"/>
                <w:vertAlign w:val="superscript"/>
                <w:lang w:val="en-US"/>
              </w:rPr>
              <w:t>a</w:t>
            </w:r>
          </w:p>
        </w:tc>
        <w:tc>
          <w:tcPr>
            <w:tcW w:w="475" w:type="pct"/>
          </w:tcPr>
          <w:p w14:paraId="2832428C" w14:textId="33FA6BFF" w:rsidR="00E156FC" w:rsidRPr="00FA5819" w:rsidRDefault="00E156FC" w:rsidP="00F47F12">
            <w:pPr>
              <w:spacing w:line="240" w:lineRule="auto"/>
              <w:jc w:val="center"/>
              <w:rPr>
                <w:bCs/>
                <w:sz w:val="22"/>
                <w:szCs w:val="22"/>
                <w:lang w:val="en-US"/>
              </w:rPr>
            </w:pPr>
            <w:r w:rsidRPr="00FA5819">
              <w:rPr>
                <w:bCs/>
                <w:sz w:val="22"/>
                <w:szCs w:val="22"/>
                <w:lang w:val="en-US"/>
              </w:rPr>
              <w:t>19.</w:t>
            </w:r>
            <w:r w:rsidR="00211503">
              <w:rPr>
                <w:bCs/>
                <w:sz w:val="22"/>
                <w:szCs w:val="22"/>
                <w:lang w:val="en-US"/>
              </w:rPr>
              <w:t>1</w:t>
            </w:r>
            <w:r w:rsidRPr="00FA5819">
              <w:rPr>
                <w:bCs/>
                <w:sz w:val="22"/>
                <w:szCs w:val="22"/>
                <w:vertAlign w:val="superscript"/>
                <w:lang w:val="en-US"/>
              </w:rPr>
              <w:t>a</w:t>
            </w:r>
          </w:p>
        </w:tc>
        <w:tc>
          <w:tcPr>
            <w:tcW w:w="391" w:type="pct"/>
          </w:tcPr>
          <w:p w14:paraId="2B2FC662" w14:textId="77777777" w:rsidR="00E156FC" w:rsidRPr="00FA5819" w:rsidRDefault="00E156FC" w:rsidP="00F47F12">
            <w:pPr>
              <w:spacing w:line="240" w:lineRule="auto"/>
              <w:jc w:val="center"/>
              <w:rPr>
                <w:bCs/>
                <w:sz w:val="22"/>
                <w:szCs w:val="22"/>
                <w:lang w:val="en-US"/>
              </w:rPr>
            </w:pPr>
            <w:r w:rsidRPr="00FA5819">
              <w:rPr>
                <w:bCs/>
                <w:sz w:val="22"/>
                <w:szCs w:val="22"/>
                <w:lang w:val="en-US"/>
              </w:rPr>
              <w:t>0.33</w:t>
            </w:r>
          </w:p>
        </w:tc>
        <w:tc>
          <w:tcPr>
            <w:tcW w:w="518" w:type="pct"/>
          </w:tcPr>
          <w:p w14:paraId="62DA690D" w14:textId="77777777" w:rsidR="00E156FC" w:rsidRPr="00FA5819" w:rsidRDefault="00E156FC" w:rsidP="00F47F12">
            <w:pPr>
              <w:spacing w:line="240" w:lineRule="auto"/>
              <w:jc w:val="center"/>
              <w:rPr>
                <w:bCs/>
                <w:sz w:val="22"/>
                <w:szCs w:val="22"/>
                <w:lang w:val="en-US"/>
              </w:rPr>
            </w:pPr>
            <w:r w:rsidRPr="00FA5819">
              <w:rPr>
                <w:bCs/>
                <w:sz w:val="22"/>
                <w:szCs w:val="22"/>
                <w:lang w:val="en-US"/>
              </w:rPr>
              <w:t>&lt;0.001</w:t>
            </w:r>
          </w:p>
        </w:tc>
      </w:tr>
      <w:tr w:rsidR="00E156FC" w:rsidRPr="00FA5819" w14:paraId="419D73EA" w14:textId="77777777" w:rsidTr="00F47F12">
        <w:tc>
          <w:tcPr>
            <w:tcW w:w="1200" w:type="pct"/>
          </w:tcPr>
          <w:p w14:paraId="5B0A5696" w14:textId="77777777" w:rsidR="00E156FC" w:rsidRPr="00FA5819" w:rsidRDefault="00E156FC" w:rsidP="00F47F12">
            <w:pPr>
              <w:spacing w:line="240" w:lineRule="auto"/>
              <w:ind w:left="176"/>
              <w:rPr>
                <w:bCs/>
                <w:sz w:val="22"/>
                <w:szCs w:val="22"/>
                <w:lang w:val="en-US"/>
              </w:rPr>
            </w:pPr>
            <w:r w:rsidRPr="00FA5819">
              <w:rPr>
                <w:bCs/>
                <w:sz w:val="22"/>
                <w:szCs w:val="22"/>
                <w:lang w:val="en-US"/>
              </w:rPr>
              <w:t>Butyrate (%)</w:t>
            </w:r>
          </w:p>
        </w:tc>
        <w:tc>
          <w:tcPr>
            <w:tcW w:w="532" w:type="pct"/>
          </w:tcPr>
          <w:p w14:paraId="36A8B1F4" w14:textId="091EECA7" w:rsidR="00E156FC" w:rsidRPr="00FA5819" w:rsidRDefault="00E156FC" w:rsidP="00F47F12">
            <w:pPr>
              <w:spacing w:line="240" w:lineRule="auto"/>
              <w:jc w:val="center"/>
              <w:rPr>
                <w:bCs/>
                <w:sz w:val="22"/>
                <w:szCs w:val="22"/>
                <w:lang w:val="en-US"/>
              </w:rPr>
            </w:pPr>
            <w:r w:rsidRPr="00FA5819">
              <w:rPr>
                <w:bCs/>
                <w:sz w:val="22"/>
                <w:szCs w:val="22"/>
                <w:lang w:val="en-US"/>
              </w:rPr>
              <w:t>10.</w:t>
            </w:r>
            <w:r w:rsidR="00211503">
              <w:rPr>
                <w:bCs/>
                <w:sz w:val="22"/>
                <w:szCs w:val="22"/>
                <w:lang w:val="en-US"/>
              </w:rPr>
              <w:t>5</w:t>
            </w:r>
          </w:p>
        </w:tc>
        <w:tc>
          <w:tcPr>
            <w:tcW w:w="475" w:type="pct"/>
          </w:tcPr>
          <w:p w14:paraId="00BFA1FB" w14:textId="0269672A" w:rsidR="00E156FC" w:rsidRPr="00FA5819" w:rsidRDefault="00E156FC" w:rsidP="00F47F12">
            <w:pPr>
              <w:spacing w:line="240" w:lineRule="auto"/>
              <w:jc w:val="center"/>
              <w:rPr>
                <w:bCs/>
                <w:sz w:val="22"/>
                <w:szCs w:val="22"/>
                <w:lang w:val="en-US"/>
              </w:rPr>
            </w:pPr>
            <w:r w:rsidRPr="00FA5819">
              <w:rPr>
                <w:bCs/>
                <w:sz w:val="22"/>
                <w:szCs w:val="22"/>
                <w:lang w:val="en-US"/>
              </w:rPr>
              <w:t>10.2</w:t>
            </w:r>
          </w:p>
        </w:tc>
        <w:tc>
          <w:tcPr>
            <w:tcW w:w="475" w:type="pct"/>
          </w:tcPr>
          <w:p w14:paraId="52B5C079" w14:textId="4F69E0C6" w:rsidR="00E156FC" w:rsidRPr="00FA5819" w:rsidRDefault="00E156FC" w:rsidP="00F47F12">
            <w:pPr>
              <w:spacing w:line="240" w:lineRule="auto"/>
              <w:jc w:val="center"/>
              <w:rPr>
                <w:bCs/>
                <w:sz w:val="22"/>
                <w:szCs w:val="22"/>
                <w:lang w:val="en-US"/>
              </w:rPr>
            </w:pPr>
            <w:r w:rsidRPr="00FA5819">
              <w:rPr>
                <w:bCs/>
                <w:sz w:val="22"/>
                <w:szCs w:val="22"/>
                <w:lang w:val="en-US"/>
              </w:rPr>
              <w:t>10.</w:t>
            </w:r>
            <w:r w:rsidR="00211503">
              <w:rPr>
                <w:bCs/>
                <w:sz w:val="22"/>
                <w:szCs w:val="22"/>
                <w:lang w:val="en-US"/>
              </w:rPr>
              <w:t>2</w:t>
            </w:r>
          </w:p>
        </w:tc>
        <w:tc>
          <w:tcPr>
            <w:tcW w:w="475" w:type="pct"/>
          </w:tcPr>
          <w:p w14:paraId="21A5B4D5" w14:textId="2BE0DC67" w:rsidR="00E156FC" w:rsidRPr="00FA5819" w:rsidRDefault="00E156FC" w:rsidP="00F47F12">
            <w:pPr>
              <w:spacing w:line="240" w:lineRule="auto"/>
              <w:jc w:val="center"/>
              <w:rPr>
                <w:bCs/>
                <w:sz w:val="22"/>
                <w:szCs w:val="22"/>
                <w:lang w:val="en-US"/>
              </w:rPr>
            </w:pPr>
            <w:r w:rsidRPr="00FA5819">
              <w:rPr>
                <w:bCs/>
                <w:sz w:val="22"/>
                <w:szCs w:val="22"/>
                <w:lang w:val="en-US"/>
              </w:rPr>
              <w:t>10.2</w:t>
            </w:r>
          </w:p>
        </w:tc>
        <w:tc>
          <w:tcPr>
            <w:tcW w:w="458" w:type="pct"/>
          </w:tcPr>
          <w:p w14:paraId="6D170A45" w14:textId="6C743867" w:rsidR="00E156FC" w:rsidRPr="00FA5819" w:rsidRDefault="00E156FC" w:rsidP="00F47F12">
            <w:pPr>
              <w:spacing w:line="240" w:lineRule="auto"/>
              <w:jc w:val="center"/>
              <w:rPr>
                <w:bCs/>
                <w:sz w:val="22"/>
                <w:szCs w:val="22"/>
                <w:lang w:val="en-US"/>
              </w:rPr>
            </w:pPr>
            <w:r w:rsidRPr="00FA5819">
              <w:rPr>
                <w:bCs/>
                <w:sz w:val="22"/>
                <w:szCs w:val="22"/>
                <w:lang w:val="en-US"/>
              </w:rPr>
              <w:t>10.4</w:t>
            </w:r>
          </w:p>
        </w:tc>
        <w:tc>
          <w:tcPr>
            <w:tcW w:w="475" w:type="pct"/>
          </w:tcPr>
          <w:p w14:paraId="27F1F06E" w14:textId="45F8FE68" w:rsidR="00E156FC" w:rsidRPr="00FA5819" w:rsidRDefault="00E156FC" w:rsidP="00F47F12">
            <w:pPr>
              <w:spacing w:line="240" w:lineRule="auto"/>
              <w:jc w:val="center"/>
              <w:rPr>
                <w:bCs/>
                <w:sz w:val="22"/>
                <w:szCs w:val="22"/>
                <w:lang w:val="en-US"/>
              </w:rPr>
            </w:pPr>
            <w:r w:rsidRPr="00FA5819">
              <w:rPr>
                <w:bCs/>
                <w:sz w:val="22"/>
                <w:szCs w:val="22"/>
                <w:lang w:val="en-US"/>
              </w:rPr>
              <w:t>10.</w:t>
            </w:r>
            <w:r w:rsidR="00211503">
              <w:rPr>
                <w:bCs/>
                <w:sz w:val="22"/>
                <w:szCs w:val="22"/>
                <w:lang w:val="en-US"/>
              </w:rPr>
              <w:t>1</w:t>
            </w:r>
          </w:p>
        </w:tc>
        <w:tc>
          <w:tcPr>
            <w:tcW w:w="391" w:type="pct"/>
          </w:tcPr>
          <w:p w14:paraId="07A16D14" w14:textId="77777777" w:rsidR="00E156FC" w:rsidRPr="00FA5819" w:rsidRDefault="00E156FC" w:rsidP="00F47F12">
            <w:pPr>
              <w:spacing w:line="240" w:lineRule="auto"/>
              <w:jc w:val="center"/>
              <w:rPr>
                <w:bCs/>
                <w:sz w:val="22"/>
                <w:szCs w:val="22"/>
                <w:lang w:val="en-US"/>
              </w:rPr>
            </w:pPr>
            <w:r w:rsidRPr="00FA5819">
              <w:rPr>
                <w:bCs/>
                <w:sz w:val="22"/>
                <w:szCs w:val="22"/>
                <w:lang w:val="en-US"/>
              </w:rPr>
              <w:t>0.43</w:t>
            </w:r>
          </w:p>
        </w:tc>
        <w:tc>
          <w:tcPr>
            <w:tcW w:w="518" w:type="pct"/>
          </w:tcPr>
          <w:p w14:paraId="56E245D2" w14:textId="77777777" w:rsidR="00E156FC" w:rsidRPr="00FA5819" w:rsidRDefault="00E156FC" w:rsidP="00F47F12">
            <w:pPr>
              <w:spacing w:line="240" w:lineRule="auto"/>
              <w:jc w:val="center"/>
              <w:rPr>
                <w:bCs/>
                <w:sz w:val="22"/>
                <w:szCs w:val="22"/>
                <w:lang w:val="en-US"/>
              </w:rPr>
            </w:pPr>
            <w:r w:rsidRPr="00FA5819">
              <w:rPr>
                <w:bCs/>
                <w:sz w:val="22"/>
                <w:szCs w:val="22"/>
                <w:lang w:val="en-US"/>
              </w:rPr>
              <w:t>0.078</w:t>
            </w:r>
          </w:p>
        </w:tc>
      </w:tr>
      <w:tr w:rsidR="00E156FC" w:rsidRPr="00FA5819" w14:paraId="6ACF27BF" w14:textId="77777777" w:rsidTr="00F47F12">
        <w:tc>
          <w:tcPr>
            <w:tcW w:w="1200" w:type="pct"/>
          </w:tcPr>
          <w:p w14:paraId="50749DB1" w14:textId="77777777" w:rsidR="00E156FC" w:rsidRPr="00FA5819" w:rsidRDefault="00E156FC" w:rsidP="00F47F12">
            <w:pPr>
              <w:spacing w:line="240" w:lineRule="auto"/>
              <w:ind w:left="176"/>
              <w:rPr>
                <w:bCs/>
                <w:sz w:val="22"/>
                <w:szCs w:val="22"/>
                <w:lang w:val="en-US"/>
              </w:rPr>
            </w:pPr>
            <w:r w:rsidRPr="00FA5819">
              <w:rPr>
                <w:bCs/>
                <w:sz w:val="22"/>
                <w:szCs w:val="22"/>
                <w:lang w:val="en-US"/>
              </w:rPr>
              <w:t>C2/C3 ratio</w:t>
            </w:r>
          </w:p>
        </w:tc>
        <w:tc>
          <w:tcPr>
            <w:tcW w:w="532" w:type="pct"/>
          </w:tcPr>
          <w:p w14:paraId="24D2664B" w14:textId="77777777" w:rsidR="00E156FC" w:rsidRPr="00FA5819" w:rsidRDefault="00E156FC" w:rsidP="00F47F12">
            <w:pPr>
              <w:spacing w:line="240" w:lineRule="auto"/>
              <w:jc w:val="center"/>
              <w:rPr>
                <w:bCs/>
                <w:sz w:val="22"/>
                <w:szCs w:val="22"/>
                <w:lang w:val="en-US"/>
              </w:rPr>
            </w:pPr>
            <w:r w:rsidRPr="00FA5819">
              <w:rPr>
                <w:bCs/>
                <w:sz w:val="22"/>
                <w:szCs w:val="22"/>
                <w:lang w:val="en-US"/>
              </w:rPr>
              <w:t>4.03</w:t>
            </w:r>
            <w:r w:rsidRPr="00FA5819">
              <w:rPr>
                <w:bCs/>
                <w:sz w:val="22"/>
                <w:szCs w:val="22"/>
                <w:vertAlign w:val="superscript"/>
                <w:lang w:val="en-US"/>
              </w:rPr>
              <w:t>a</w:t>
            </w:r>
          </w:p>
        </w:tc>
        <w:tc>
          <w:tcPr>
            <w:tcW w:w="475" w:type="pct"/>
          </w:tcPr>
          <w:p w14:paraId="36AB20AA" w14:textId="77777777" w:rsidR="00E156FC" w:rsidRPr="00FA5819" w:rsidRDefault="00E156FC" w:rsidP="00F47F12">
            <w:pPr>
              <w:spacing w:line="240" w:lineRule="auto"/>
              <w:jc w:val="center"/>
              <w:rPr>
                <w:bCs/>
                <w:sz w:val="22"/>
                <w:szCs w:val="22"/>
                <w:lang w:val="en-US"/>
              </w:rPr>
            </w:pPr>
            <w:r w:rsidRPr="00FA5819">
              <w:rPr>
                <w:bCs/>
                <w:sz w:val="22"/>
                <w:szCs w:val="22"/>
                <w:lang w:val="en-US"/>
              </w:rPr>
              <w:t>3.87</w:t>
            </w:r>
            <w:r w:rsidRPr="00FA5819">
              <w:rPr>
                <w:bCs/>
                <w:sz w:val="22"/>
                <w:szCs w:val="22"/>
                <w:vertAlign w:val="superscript"/>
                <w:lang w:val="en-US"/>
              </w:rPr>
              <w:t>b</w:t>
            </w:r>
          </w:p>
        </w:tc>
        <w:tc>
          <w:tcPr>
            <w:tcW w:w="475" w:type="pct"/>
          </w:tcPr>
          <w:p w14:paraId="5E10F64B" w14:textId="77777777" w:rsidR="00E156FC" w:rsidRPr="00FA5819" w:rsidRDefault="00E156FC" w:rsidP="00F47F12">
            <w:pPr>
              <w:spacing w:line="240" w:lineRule="auto"/>
              <w:jc w:val="center"/>
              <w:rPr>
                <w:bCs/>
                <w:sz w:val="22"/>
                <w:szCs w:val="22"/>
                <w:lang w:val="en-US"/>
              </w:rPr>
            </w:pPr>
            <w:r w:rsidRPr="00FA5819">
              <w:rPr>
                <w:bCs/>
                <w:sz w:val="22"/>
                <w:szCs w:val="22"/>
                <w:lang w:val="en-US"/>
              </w:rPr>
              <w:t>3.82</w:t>
            </w:r>
            <w:r w:rsidRPr="00FA5819">
              <w:rPr>
                <w:bCs/>
                <w:sz w:val="22"/>
                <w:szCs w:val="22"/>
                <w:vertAlign w:val="superscript"/>
                <w:lang w:val="en-US"/>
              </w:rPr>
              <w:t>bc</w:t>
            </w:r>
          </w:p>
        </w:tc>
        <w:tc>
          <w:tcPr>
            <w:tcW w:w="475" w:type="pct"/>
          </w:tcPr>
          <w:p w14:paraId="4BC58199" w14:textId="77777777" w:rsidR="00E156FC" w:rsidRPr="00FA5819" w:rsidRDefault="00E156FC" w:rsidP="00F47F12">
            <w:pPr>
              <w:spacing w:line="240" w:lineRule="auto"/>
              <w:jc w:val="center"/>
              <w:rPr>
                <w:bCs/>
                <w:sz w:val="22"/>
                <w:szCs w:val="22"/>
                <w:lang w:val="en-US"/>
              </w:rPr>
            </w:pPr>
            <w:r w:rsidRPr="00FA5819">
              <w:rPr>
                <w:bCs/>
                <w:sz w:val="22"/>
                <w:szCs w:val="22"/>
                <w:lang w:val="en-US"/>
              </w:rPr>
              <w:t>3.83</w:t>
            </w:r>
            <w:r w:rsidRPr="00FA5819">
              <w:rPr>
                <w:bCs/>
                <w:sz w:val="22"/>
                <w:szCs w:val="22"/>
                <w:vertAlign w:val="superscript"/>
                <w:lang w:val="en-US"/>
              </w:rPr>
              <w:t>bc</w:t>
            </w:r>
          </w:p>
        </w:tc>
        <w:tc>
          <w:tcPr>
            <w:tcW w:w="458" w:type="pct"/>
          </w:tcPr>
          <w:p w14:paraId="7309A910" w14:textId="77777777" w:rsidR="00E156FC" w:rsidRPr="00FA5819" w:rsidRDefault="00E156FC" w:rsidP="00F47F12">
            <w:pPr>
              <w:spacing w:line="240" w:lineRule="auto"/>
              <w:jc w:val="center"/>
              <w:rPr>
                <w:bCs/>
                <w:sz w:val="22"/>
                <w:szCs w:val="22"/>
                <w:lang w:val="en-US"/>
              </w:rPr>
            </w:pPr>
            <w:r w:rsidRPr="00FA5819">
              <w:rPr>
                <w:bCs/>
                <w:sz w:val="22"/>
                <w:szCs w:val="22"/>
                <w:lang w:val="en-US"/>
              </w:rPr>
              <w:t>3.74</w:t>
            </w:r>
            <w:r w:rsidRPr="00FA5819">
              <w:rPr>
                <w:bCs/>
                <w:sz w:val="22"/>
                <w:szCs w:val="22"/>
                <w:vertAlign w:val="superscript"/>
                <w:lang w:val="en-US"/>
              </w:rPr>
              <w:t>c</w:t>
            </w:r>
          </w:p>
        </w:tc>
        <w:tc>
          <w:tcPr>
            <w:tcW w:w="475" w:type="pct"/>
          </w:tcPr>
          <w:p w14:paraId="54A7CCE3" w14:textId="77777777" w:rsidR="00E156FC" w:rsidRPr="00FA5819" w:rsidRDefault="00E156FC" w:rsidP="00F47F12">
            <w:pPr>
              <w:spacing w:line="240" w:lineRule="auto"/>
              <w:jc w:val="center"/>
              <w:rPr>
                <w:bCs/>
                <w:sz w:val="22"/>
                <w:szCs w:val="22"/>
                <w:lang w:val="en-US"/>
              </w:rPr>
            </w:pPr>
            <w:r w:rsidRPr="00FA5819">
              <w:rPr>
                <w:bCs/>
                <w:sz w:val="22"/>
                <w:szCs w:val="22"/>
                <w:lang w:val="en-US"/>
              </w:rPr>
              <w:t>3.78</w:t>
            </w:r>
            <w:r w:rsidRPr="00FA5819">
              <w:rPr>
                <w:bCs/>
                <w:sz w:val="22"/>
                <w:szCs w:val="22"/>
                <w:vertAlign w:val="superscript"/>
                <w:lang w:val="en-US"/>
              </w:rPr>
              <w:t>bc</w:t>
            </w:r>
          </w:p>
        </w:tc>
        <w:tc>
          <w:tcPr>
            <w:tcW w:w="391" w:type="pct"/>
          </w:tcPr>
          <w:p w14:paraId="446C06E4" w14:textId="77777777" w:rsidR="00E156FC" w:rsidRPr="00FA5819" w:rsidRDefault="00E156FC" w:rsidP="00F47F12">
            <w:pPr>
              <w:spacing w:line="240" w:lineRule="auto"/>
              <w:jc w:val="center"/>
              <w:rPr>
                <w:bCs/>
                <w:sz w:val="22"/>
                <w:szCs w:val="22"/>
                <w:lang w:val="en-US"/>
              </w:rPr>
            </w:pPr>
            <w:r w:rsidRPr="00FA5819">
              <w:rPr>
                <w:bCs/>
                <w:sz w:val="22"/>
                <w:szCs w:val="22"/>
                <w:lang w:val="en-US"/>
              </w:rPr>
              <w:t>0.11</w:t>
            </w:r>
          </w:p>
        </w:tc>
        <w:tc>
          <w:tcPr>
            <w:tcW w:w="518" w:type="pct"/>
          </w:tcPr>
          <w:p w14:paraId="7F513E47" w14:textId="77777777" w:rsidR="00E156FC" w:rsidRPr="00FA5819" w:rsidRDefault="00E156FC" w:rsidP="00F47F12">
            <w:pPr>
              <w:spacing w:line="240" w:lineRule="auto"/>
              <w:jc w:val="center"/>
              <w:rPr>
                <w:bCs/>
                <w:sz w:val="22"/>
                <w:szCs w:val="22"/>
                <w:lang w:val="en-US"/>
              </w:rPr>
            </w:pPr>
            <w:r w:rsidRPr="00FA5819">
              <w:rPr>
                <w:bCs/>
                <w:sz w:val="22"/>
                <w:szCs w:val="22"/>
                <w:lang w:val="en-US"/>
              </w:rPr>
              <w:t>&lt;0.001</w:t>
            </w:r>
          </w:p>
        </w:tc>
      </w:tr>
      <w:tr w:rsidR="00E156FC" w:rsidRPr="00FA5819" w14:paraId="3A568441" w14:textId="77777777" w:rsidTr="00F47F12">
        <w:tc>
          <w:tcPr>
            <w:tcW w:w="1200" w:type="pct"/>
          </w:tcPr>
          <w:p w14:paraId="2834B144" w14:textId="77777777" w:rsidR="00E156FC" w:rsidRPr="00FA5819" w:rsidRDefault="00E156FC" w:rsidP="00F47F12">
            <w:pPr>
              <w:spacing w:line="240" w:lineRule="auto"/>
              <w:rPr>
                <w:bCs/>
                <w:sz w:val="22"/>
                <w:szCs w:val="22"/>
                <w:lang w:val="en-US"/>
              </w:rPr>
            </w:pPr>
            <w:r w:rsidRPr="00FA5819">
              <w:rPr>
                <w:bCs/>
                <w:sz w:val="22"/>
                <w:szCs w:val="22"/>
                <w:lang w:val="en-US"/>
              </w:rPr>
              <w:t>Nitrogen metabolism</w:t>
            </w:r>
          </w:p>
        </w:tc>
        <w:tc>
          <w:tcPr>
            <w:tcW w:w="532" w:type="pct"/>
          </w:tcPr>
          <w:p w14:paraId="08814051" w14:textId="77777777" w:rsidR="00E156FC" w:rsidRPr="00FA5819" w:rsidRDefault="00E156FC" w:rsidP="00F47F12">
            <w:pPr>
              <w:spacing w:line="240" w:lineRule="auto"/>
              <w:jc w:val="center"/>
              <w:rPr>
                <w:bCs/>
                <w:sz w:val="22"/>
                <w:szCs w:val="22"/>
                <w:lang w:val="en-US"/>
              </w:rPr>
            </w:pPr>
          </w:p>
        </w:tc>
        <w:tc>
          <w:tcPr>
            <w:tcW w:w="475" w:type="pct"/>
          </w:tcPr>
          <w:p w14:paraId="618D2942" w14:textId="77777777" w:rsidR="00E156FC" w:rsidRPr="00FA5819" w:rsidRDefault="00E156FC" w:rsidP="00F47F12">
            <w:pPr>
              <w:spacing w:line="240" w:lineRule="auto"/>
              <w:jc w:val="center"/>
              <w:rPr>
                <w:bCs/>
                <w:sz w:val="22"/>
                <w:szCs w:val="22"/>
                <w:lang w:val="en-US"/>
              </w:rPr>
            </w:pPr>
          </w:p>
        </w:tc>
        <w:tc>
          <w:tcPr>
            <w:tcW w:w="475" w:type="pct"/>
          </w:tcPr>
          <w:p w14:paraId="7F74ADE7" w14:textId="77777777" w:rsidR="00E156FC" w:rsidRPr="00FA5819" w:rsidRDefault="00E156FC" w:rsidP="00F47F12">
            <w:pPr>
              <w:spacing w:line="240" w:lineRule="auto"/>
              <w:jc w:val="center"/>
              <w:rPr>
                <w:bCs/>
                <w:sz w:val="22"/>
                <w:szCs w:val="22"/>
                <w:lang w:val="en-US"/>
              </w:rPr>
            </w:pPr>
          </w:p>
        </w:tc>
        <w:tc>
          <w:tcPr>
            <w:tcW w:w="475" w:type="pct"/>
          </w:tcPr>
          <w:p w14:paraId="3A406A75" w14:textId="77777777" w:rsidR="00E156FC" w:rsidRPr="00FA5819" w:rsidRDefault="00E156FC" w:rsidP="00F47F12">
            <w:pPr>
              <w:spacing w:line="240" w:lineRule="auto"/>
              <w:jc w:val="center"/>
              <w:rPr>
                <w:bCs/>
                <w:sz w:val="22"/>
                <w:szCs w:val="22"/>
                <w:lang w:val="en-US"/>
              </w:rPr>
            </w:pPr>
          </w:p>
        </w:tc>
        <w:tc>
          <w:tcPr>
            <w:tcW w:w="458" w:type="pct"/>
          </w:tcPr>
          <w:p w14:paraId="5440E7F0" w14:textId="77777777" w:rsidR="00E156FC" w:rsidRPr="00FA5819" w:rsidRDefault="00E156FC" w:rsidP="00F47F12">
            <w:pPr>
              <w:spacing w:line="240" w:lineRule="auto"/>
              <w:jc w:val="center"/>
              <w:rPr>
                <w:bCs/>
                <w:sz w:val="22"/>
                <w:szCs w:val="22"/>
                <w:lang w:val="en-US"/>
              </w:rPr>
            </w:pPr>
          </w:p>
        </w:tc>
        <w:tc>
          <w:tcPr>
            <w:tcW w:w="475" w:type="pct"/>
          </w:tcPr>
          <w:p w14:paraId="590ECF6F" w14:textId="77777777" w:rsidR="00E156FC" w:rsidRPr="00FA5819" w:rsidRDefault="00E156FC" w:rsidP="00F47F12">
            <w:pPr>
              <w:spacing w:line="240" w:lineRule="auto"/>
              <w:jc w:val="center"/>
              <w:rPr>
                <w:bCs/>
                <w:sz w:val="22"/>
                <w:szCs w:val="22"/>
                <w:lang w:val="en-US"/>
              </w:rPr>
            </w:pPr>
          </w:p>
        </w:tc>
        <w:tc>
          <w:tcPr>
            <w:tcW w:w="391" w:type="pct"/>
          </w:tcPr>
          <w:p w14:paraId="2838A8B9" w14:textId="77777777" w:rsidR="00E156FC" w:rsidRPr="00FA5819" w:rsidRDefault="00E156FC" w:rsidP="00F47F12">
            <w:pPr>
              <w:spacing w:line="240" w:lineRule="auto"/>
              <w:jc w:val="center"/>
              <w:rPr>
                <w:bCs/>
                <w:sz w:val="22"/>
                <w:szCs w:val="22"/>
                <w:lang w:val="en-US"/>
              </w:rPr>
            </w:pPr>
          </w:p>
        </w:tc>
        <w:tc>
          <w:tcPr>
            <w:tcW w:w="518" w:type="pct"/>
          </w:tcPr>
          <w:p w14:paraId="20AD7B0E" w14:textId="77777777" w:rsidR="00E156FC" w:rsidRPr="00FA5819" w:rsidRDefault="00E156FC" w:rsidP="00F47F12">
            <w:pPr>
              <w:spacing w:line="240" w:lineRule="auto"/>
              <w:jc w:val="center"/>
              <w:rPr>
                <w:bCs/>
                <w:sz w:val="22"/>
                <w:szCs w:val="22"/>
                <w:lang w:val="en-US"/>
              </w:rPr>
            </w:pPr>
          </w:p>
        </w:tc>
      </w:tr>
      <w:tr w:rsidR="00E156FC" w:rsidRPr="00FA5819" w14:paraId="7229FD9C" w14:textId="77777777" w:rsidTr="00F47F12">
        <w:tc>
          <w:tcPr>
            <w:tcW w:w="1200" w:type="pct"/>
          </w:tcPr>
          <w:p w14:paraId="241C85FC" w14:textId="77777777" w:rsidR="00E156FC" w:rsidRPr="00FA5819" w:rsidRDefault="00E156FC" w:rsidP="00F47F12">
            <w:pPr>
              <w:spacing w:line="240" w:lineRule="auto"/>
              <w:ind w:left="176"/>
              <w:rPr>
                <w:bCs/>
                <w:sz w:val="22"/>
                <w:szCs w:val="22"/>
                <w:lang w:val="en-US"/>
              </w:rPr>
            </w:pPr>
            <w:r w:rsidRPr="00FA5819">
              <w:rPr>
                <w:bCs/>
                <w:sz w:val="22"/>
                <w:szCs w:val="22"/>
                <w:lang w:val="en-US"/>
              </w:rPr>
              <w:t>NH</w:t>
            </w:r>
            <w:r w:rsidRPr="00FA5819">
              <w:rPr>
                <w:bCs/>
                <w:sz w:val="22"/>
                <w:szCs w:val="22"/>
                <w:vertAlign w:val="subscript"/>
                <w:lang w:val="en-US"/>
              </w:rPr>
              <w:t>3</w:t>
            </w:r>
            <w:r w:rsidRPr="00FA5819">
              <w:rPr>
                <w:bCs/>
                <w:sz w:val="22"/>
                <w:szCs w:val="22"/>
                <w:lang w:val="en-US"/>
              </w:rPr>
              <w:t>-N (mg N/dl)</w:t>
            </w:r>
          </w:p>
        </w:tc>
        <w:tc>
          <w:tcPr>
            <w:tcW w:w="532" w:type="pct"/>
          </w:tcPr>
          <w:p w14:paraId="754CDC40" w14:textId="7C44AD13" w:rsidR="00E156FC" w:rsidRPr="00FA5819" w:rsidRDefault="00E156FC" w:rsidP="00F47F12">
            <w:pPr>
              <w:spacing w:line="240" w:lineRule="auto"/>
              <w:jc w:val="center"/>
              <w:rPr>
                <w:bCs/>
                <w:sz w:val="22"/>
                <w:szCs w:val="22"/>
                <w:lang w:val="en-US"/>
              </w:rPr>
            </w:pPr>
            <w:r w:rsidRPr="00FA5819">
              <w:rPr>
                <w:bCs/>
                <w:sz w:val="22"/>
                <w:szCs w:val="22"/>
                <w:lang w:val="en-US"/>
              </w:rPr>
              <w:t>27.0</w:t>
            </w:r>
          </w:p>
        </w:tc>
        <w:tc>
          <w:tcPr>
            <w:tcW w:w="475" w:type="pct"/>
          </w:tcPr>
          <w:p w14:paraId="20AA7CF0" w14:textId="71B0B52D" w:rsidR="00E156FC" w:rsidRPr="00FA5819" w:rsidRDefault="00E156FC" w:rsidP="00F47F12">
            <w:pPr>
              <w:spacing w:line="240" w:lineRule="auto"/>
              <w:jc w:val="center"/>
              <w:rPr>
                <w:bCs/>
                <w:sz w:val="22"/>
                <w:szCs w:val="22"/>
                <w:lang w:val="en-US"/>
              </w:rPr>
            </w:pPr>
            <w:r w:rsidRPr="00FA5819">
              <w:rPr>
                <w:bCs/>
                <w:sz w:val="22"/>
                <w:szCs w:val="22"/>
                <w:lang w:val="en-US"/>
              </w:rPr>
              <w:t>26.8</w:t>
            </w:r>
          </w:p>
        </w:tc>
        <w:tc>
          <w:tcPr>
            <w:tcW w:w="475" w:type="pct"/>
          </w:tcPr>
          <w:p w14:paraId="4787B610" w14:textId="31428650" w:rsidR="00E156FC" w:rsidRPr="00FA5819" w:rsidRDefault="00E156FC" w:rsidP="00F47F12">
            <w:pPr>
              <w:spacing w:line="240" w:lineRule="auto"/>
              <w:jc w:val="center"/>
              <w:rPr>
                <w:bCs/>
                <w:sz w:val="22"/>
                <w:szCs w:val="22"/>
                <w:lang w:val="en-US"/>
              </w:rPr>
            </w:pPr>
            <w:r w:rsidRPr="00FA5819">
              <w:rPr>
                <w:bCs/>
                <w:sz w:val="22"/>
                <w:szCs w:val="22"/>
                <w:lang w:val="en-US"/>
              </w:rPr>
              <w:t>26.</w:t>
            </w:r>
            <w:r w:rsidR="00211503">
              <w:rPr>
                <w:bCs/>
                <w:sz w:val="22"/>
                <w:szCs w:val="22"/>
                <w:lang w:val="en-US"/>
              </w:rPr>
              <w:t>7</w:t>
            </w:r>
          </w:p>
        </w:tc>
        <w:tc>
          <w:tcPr>
            <w:tcW w:w="475" w:type="pct"/>
          </w:tcPr>
          <w:p w14:paraId="3C606A77" w14:textId="60277BC2" w:rsidR="00E156FC" w:rsidRPr="00FA5819" w:rsidRDefault="00E156FC" w:rsidP="00F47F12">
            <w:pPr>
              <w:spacing w:line="240" w:lineRule="auto"/>
              <w:jc w:val="center"/>
              <w:rPr>
                <w:bCs/>
                <w:sz w:val="22"/>
                <w:szCs w:val="22"/>
                <w:lang w:val="en-US"/>
              </w:rPr>
            </w:pPr>
            <w:r w:rsidRPr="00FA5819">
              <w:rPr>
                <w:bCs/>
                <w:sz w:val="22"/>
                <w:szCs w:val="22"/>
                <w:lang w:val="en-US"/>
              </w:rPr>
              <w:t>26.7</w:t>
            </w:r>
          </w:p>
        </w:tc>
        <w:tc>
          <w:tcPr>
            <w:tcW w:w="458" w:type="pct"/>
          </w:tcPr>
          <w:p w14:paraId="59E12B39" w14:textId="62CE135F" w:rsidR="00E156FC" w:rsidRPr="00FA5819" w:rsidRDefault="00E156FC" w:rsidP="00F47F12">
            <w:pPr>
              <w:spacing w:line="240" w:lineRule="auto"/>
              <w:jc w:val="center"/>
              <w:rPr>
                <w:bCs/>
                <w:sz w:val="22"/>
                <w:szCs w:val="22"/>
                <w:lang w:val="en-US"/>
              </w:rPr>
            </w:pPr>
            <w:r w:rsidRPr="00FA5819">
              <w:rPr>
                <w:bCs/>
                <w:sz w:val="22"/>
                <w:szCs w:val="22"/>
                <w:lang w:val="en-US"/>
              </w:rPr>
              <w:t>26.</w:t>
            </w:r>
            <w:r w:rsidR="00211503">
              <w:rPr>
                <w:bCs/>
                <w:sz w:val="22"/>
                <w:szCs w:val="22"/>
                <w:lang w:val="en-US"/>
              </w:rPr>
              <w:t>6</w:t>
            </w:r>
          </w:p>
        </w:tc>
        <w:tc>
          <w:tcPr>
            <w:tcW w:w="475" w:type="pct"/>
          </w:tcPr>
          <w:p w14:paraId="2E441B4D" w14:textId="23CA1FF6" w:rsidR="00E156FC" w:rsidRPr="00FA5819" w:rsidRDefault="00E156FC" w:rsidP="00F47F12">
            <w:pPr>
              <w:spacing w:line="240" w:lineRule="auto"/>
              <w:jc w:val="center"/>
              <w:rPr>
                <w:bCs/>
                <w:sz w:val="22"/>
                <w:szCs w:val="22"/>
                <w:lang w:val="en-US"/>
              </w:rPr>
            </w:pPr>
            <w:r w:rsidRPr="00FA5819">
              <w:rPr>
                <w:bCs/>
                <w:sz w:val="22"/>
                <w:szCs w:val="22"/>
                <w:lang w:val="en-US"/>
              </w:rPr>
              <w:t>26.</w:t>
            </w:r>
            <w:r w:rsidR="00211503">
              <w:rPr>
                <w:bCs/>
                <w:sz w:val="22"/>
                <w:szCs w:val="22"/>
                <w:lang w:val="en-US"/>
              </w:rPr>
              <w:t>7</w:t>
            </w:r>
          </w:p>
        </w:tc>
        <w:tc>
          <w:tcPr>
            <w:tcW w:w="391" w:type="pct"/>
          </w:tcPr>
          <w:p w14:paraId="05D81A8A" w14:textId="77777777" w:rsidR="00E156FC" w:rsidRPr="00FA5819" w:rsidRDefault="00E156FC" w:rsidP="00F47F12">
            <w:pPr>
              <w:spacing w:line="240" w:lineRule="auto"/>
              <w:jc w:val="center"/>
              <w:rPr>
                <w:bCs/>
                <w:sz w:val="22"/>
                <w:szCs w:val="22"/>
                <w:lang w:val="en-US"/>
              </w:rPr>
            </w:pPr>
            <w:r w:rsidRPr="00FA5819">
              <w:rPr>
                <w:bCs/>
                <w:sz w:val="22"/>
                <w:szCs w:val="22"/>
                <w:lang w:val="en-US"/>
              </w:rPr>
              <w:t>0.64</w:t>
            </w:r>
          </w:p>
        </w:tc>
        <w:tc>
          <w:tcPr>
            <w:tcW w:w="518" w:type="pct"/>
          </w:tcPr>
          <w:p w14:paraId="4E7ED123" w14:textId="77777777" w:rsidR="00E156FC" w:rsidRPr="00FA5819" w:rsidRDefault="00E156FC" w:rsidP="00F47F12">
            <w:pPr>
              <w:spacing w:line="240" w:lineRule="auto"/>
              <w:jc w:val="center"/>
              <w:rPr>
                <w:bCs/>
                <w:sz w:val="22"/>
                <w:szCs w:val="22"/>
                <w:lang w:val="en-US"/>
              </w:rPr>
            </w:pPr>
            <w:r w:rsidRPr="00FA5819">
              <w:rPr>
                <w:bCs/>
                <w:sz w:val="22"/>
                <w:szCs w:val="22"/>
                <w:lang w:val="en-US"/>
              </w:rPr>
              <w:t>0.550</w:t>
            </w:r>
          </w:p>
        </w:tc>
      </w:tr>
      <w:tr w:rsidR="00E156FC" w:rsidRPr="00FA5819" w14:paraId="2632816E" w14:textId="77777777" w:rsidTr="00F47F12">
        <w:tc>
          <w:tcPr>
            <w:tcW w:w="1200" w:type="pct"/>
          </w:tcPr>
          <w:p w14:paraId="4FF337F7" w14:textId="77777777" w:rsidR="00E156FC" w:rsidRPr="00FA5819" w:rsidRDefault="00E156FC" w:rsidP="00F47F12">
            <w:pPr>
              <w:spacing w:line="240" w:lineRule="auto"/>
              <w:ind w:left="176"/>
              <w:rPr>
                <w:bCs/>
                <w:sz w:val="22"/>
                <w:szCs w:val="22"/>
                <w:lang w:val="en-US"/>
              </w:rPr>
            </w:pPr>
            <w:r w:rsidRPr="00FA5819">
              <w:rPr>
                <w:bCs/>
                <w:sz w:val="22"/>
                <w:szCs w:val="22"/>
                <w:lang w:val="en-US"/>
              </w:rPr>
              <w:t>MCP (g/kg OM)</w:t>
            </w:r>
          </w:p>
        </w:tc>
        <w:tc>
          <w:tcPr>
            <w:tcW w:w="532" w:type="pct"/>
          </w:tcPr>
          <w:p w14:paraId="40B6E6F5" w14:textId="1C38F4BD" w:rsidR="00E156FC" w:rsidRPr="00FA5819" w:rsidRDefault="00E156FC" w:rsidP="00F47F12">
            <w:pPr>
              <w:spacing w:line="240" w:lineRule="auto"/>
              <w:jc w:val="center"/>
              <w:rPr>
                <w:bCs/>
                <w:sz w:val="22"/>
                <w:szCs w:val="22"/>
                <w:lang w:val="en-US"/>
              </w:rPr>
            </w:pPr>
            <w:r w:rsidRPr="00FA5819">
              <w:rPr>
                <w:bCs/>
                <w:sz w:val="22"/>
                <w:szCs w:val="22"/>
                <w:lang w:val="en-US"/>
              </w:rPr>
              <w:t>12.5</w:t>
            </w:r>
            <w:r w:rsidRPr="00FA5819">
              <w:rPr>
                <w:bCs/>
                <w:sz w:val="22"/>
                <w:szCs w:val="22"/>
                <w:vertAlign w:val="superscript"/>
                <w:lang w:val="en-US"/>
              </w:rPr>
              <w:t>a</w:t>
            </w:r>
          </w:p>
        </w:tc>
        <w:tc>
          <w:tcPr>
            <w:tcW w:w="475" w:type="pct"/>
          </w:tcPr>
          <w:p w14:paraId="43C711E1" w14:textId="5011BE5E" w:rsidR="00E156FC" w:rsidRPr="00FA5819" w:rsidRDefault="00E156FC" w:rsidP="00F47F12">
            <w:pPr>
              <w:spacing w:line="240" w:lineRule="auto"/>
              <w:jc w:val="center"/>
              <w:rPr>
                <w:bCs/>
                <w:sz w:val="22"/>
                <w:szCs w:val="22"/>
                <w:lang w:val="en-US"/>
              </w:rPr>
            </w:pPr>
            <w:r w:rsidRPr="00FA5819">
              <w:rPr>
                <w:bCs/>
                <w:sz w:val="22"/>
                <w:szCs w:val="22"/>
                <w:lang w:val="en-US"/>
              </w:rPr>
              <w:t>12.3</w:t>
            </w:r>
            <w:r w:rsidRPr="00FA5819">
              <w:rPr>
                <w:bCs/>
                <w:sz w:val="22"/>
                <w:szCs w:val="22"/>
                <w:vertAlign w:val="superscript"/>
                <w:lang w:val="en-US"/>
              </w:rPr>
              <w:t>ab</w:t>
            </w:r>
          </w:p>
        </w:tc>
        <w:tc>
          <w:tcPr>
            <w:tcW w:w="475" w:type="pct"/>
          </w:tcPr>
          <w:p w14:paraId="4705CC84" w14:textId="53C0EF78" w:rsidR="00E156FC" w:rsidRPr="00FA5819" w:rsidRDefault="00E156FC" w:rsidP="00F47F12">
            <w:pPr>
              <w:spacing w:line="240" w:lineRule="auto"/>
              <w:jc w:val="center"/>
              <w:rPr>
                <w:bCs/>
                <w:sz w:val="22"/>
                <w:szCs w:val="22"/>
                <w:lang w:val="en-US"/>
              </w:rPr>
            </w:pPr>
            <w:r w:rsidRPr="00FA5819">
              <w:rPr>
                <w:bCs/>
                <w:sz w:val="22"/>
                <w:szCs w:val="22"/>
                <w:lang w:val="en-US"/>
              </w:rPr>
              <w:t>12.2</w:t>
            </w:r>
            <w:r w:rsidRPr="00FA5819">
              <w:rPr>
                <w:bCs/>
                <w:sz w:val="22"/>
                <w:szCs w:val="22"/>
                <w:vertAlign w:val="superscript"/>
                <w:lang w:val="en-US"/>
              </w:rPr>
              <w:t>ab</w:t>
            </w:r>
          </w:p>
        </w:tc>
        <w:tc>
          <w:tcPr>
            <w:tcW w:w="475" w:type="pct"/>
          </w:tcPr>
          <w:p w14:paraId="4483AD62" w14:textId="6FDABF5D" w:rsidR="00E156FC" w:rsidRPr="00FA5819" w:rsidRDefault="00E156FC" w:rsidP="00F47F12">
            <w:pPr>
              <w:spacing w:line="240" w:lineRule="auto"/>
              <w:jc w:val="center"/>
              <w:rPr>
                <w:bCs/>
                <w:sz w:val="22"/>
                <w:szCs w:val="22"/>
                <w:lang w:val="en-US"/>
              </w:rPr>
            </w:pPr>
            <w:r w:rsidRPr="00FA5819">
              <w:rPr>
                <w:bCs/>
                <w:sz w:val="22"/>
                <w:szCs w:val="22"/>
                <w:lang w:val="en-US"/>
              </w:rPr>
              <w:t>12.0</w:t>
            </w:r>
            <w:r w:rsidRPr="00FA5819">
              <w:rPr>
                <w:bCs/>
                <w:sz w:val="22"/>
                <w:szCs w:val="22"/>
                <w:vertAlign w:val="superscript"/>
                <w:lang w:val="en-US"/>
              </w:rPr>
              <w:t>b</w:t>
            </w:r>
          </w:p>
        </w:tc>
        <w:tc>
          <w:tcPr>
            <w:tcW w:w="458" w:type="pct"/>
          </w:tcPr>
          <w:p w14:paraId="0A9F62BE" w14:textId="35EC5084" w:rsidR="00E156FC" w:rsidRPr="00FA5819" w:rsidRDefault="00E156FC" w:rsidP="00F47F12">
            <w:pPr>
              <w:spacing w:line="240" w:lineRule="auto"/>
              <w:jc w:val="center"/>
              <w:rPr>
                <w:bCs/>
                <w:sz w:val="22"/>
                <w:szCs w:val="22"/>
                <w:lang w:val="en-US"/>
              </w:rPr>
            </w:pPr>
            <w:r w:rsidRPr="00FA5819">
              <w:rPr>
                <w:bCs/>
                <w:sz w:val="22"/>
                <w:szCs w:val="22"/>
                <w:lang w:val="en-US"/>
              </w:rPr>
              <w:t>12.0</w:t>
            </w:r>
            <w:r w:rsidRPr="00FA5819">
              <w:rPr>
                <w:bCs/>
                <w:sz w:val="22"/>
                <w:szCs w:val="22"/>
                <w:vertAlign w:val="superscript"/>
                <w:lang w:val="en-US"/>
              </w:rPr>
              <w:t>b</w:t>
            </w:r>
          </w:p>
        </w:tc>
        <w:tc>
          <w:tcPr>
            <w:tcW w:w="475" w:type="pct"/>
          </w:tcPr>
          <w:p w14:paraId="1F9BDA35" w14:textId="45D9AA00" w:rsidR="00E156FC" w:rsidRPr="00FA5819" w:rsidRDefault="00E156FC" w:rsidP="00F47F12">
            <w:pPr>
              <w:spacing w:line="240" w:lineRule="auto"/>
              <w:jc w:val="center"/>
              <w:rPr>
                <w:bCs/>
                <w:sz w:val="22"/>
                <w:szCs w:val="22"/>
                <w:lang w:val="en-US"/>
              </w:rPr>
            </w:pPr>
            <w:r w:rsidRPr="00FA5819">
              <w:rPr>
                <w:bCs/>
                <w:sz w:val="22"/>
                <w:szCs w:val="22"/>
                <w:lang w:val="en-US"/>
              </w:rPr>
              <w:t>12.2</w:t>
            </w:r>
            <w:r w:rsidRPr="00FA5819">
              <w:rPr>
                <w:bCs/>
                <w:sz w:val="22"/>
                <w:szCs w:val="22"/>
                <w:vertAlign w:val="superscript"/>
                <w:lang w:val="en-US"/>
              </w:rPr>
              <w:t>ab</w:t>
            </w:r>
          </w:p>
        </w:tc>
        <w:tc>
          <w:tcPr>
            <w:tcW w:w="391" w:type="pct"/>
          </w:tcPr>
          <w:p w14:paraId="390EEC29" w14:textId="77777777" w:rsidR="00E156FC" w:rsidRPr="00FA5819" w:rsidRDefault="00E156FC" w:rsidP="00F47F12">
            <w:pPr>
              <w:spacing w:line="240" w:lineRule="auto"/>
              <w:jc w:val="center"/>
              <w:rPr>
                <w:bCs/>
                <w:sz w:val="22"/>
                <w:szCs w:val="22"/>
                <w:lang w:val="en-US"/>
              </w:rPr>
            </w:pPr>
            <w:r w:rsidRPr="00FA5819">
              <w:rPr>
                <w:bCs/>
                <w:sz w:val="22"/>
                <w:szCs w:val="22"/>
                <w:lang w:val="en-US"/>
              </w:rPr>
              <w:t>0.26</w:t>
            </w:r>
          </w:p>
        </w:tc>
        <w:tc>
          <w:tcPr>
            <w:tcW w:w="518" w:type="pct"/>
          </w:tcPr>
          <w:p w14:paraId="0C86B09F" w14:textId="77777777" w:rsidR="00E156FC" w:rsidRPr="00FA5819" w:rsidRDefault="00E156FC" w:rsidP="00F47F12">
            <w:pPr>
              <w:spacing w:line="240" w:lineRule="auto"/>
              <w:jc w:val="center"/>
              <w:rPr>
                <w:bCs/>
                <w:sz w:val="22"/>
                <w:szCs w:val="22"/>
                <w:lang w:val="en-US"/>
              </w:rPr>
            </w:pPr>
            <w:r w:rsidRPr="00FA5819">
              <w:rPr>
                <w:bCs/>
                <w:sz w:val="22"/>
                <w:szCs w:val="22"/>
                <w:lang w:val="en-US"/>
              </w:rPr>
              <w:t>0.018</w:t>
            </w:r>
          </w:p>
        </w:tc>
      </w:tr>
      <w:tr w:rsidR="00E156FC" w:rsidRPr="00FA5819" w14:paraId="74140F9D" w14:textId="77777777" w:rsidTr="00F47F12">
        <w:tc>
          <w:tcPr>
            <w:tcW w:w="1200" w:type="pct"/>
          </w:tcPr>
          <w:p w14:paraId="7A9C1F3E" w14:textId="77777777" w:rsidR="00E156FC" w:rsidRPr="00FA5819" w:rsidRDefault="00E156FC" w:rsidP="00F47F12">
            <w:pPr>
              <w:spacing w:line="240" w:lineRule="auto"/>
              <w:rPr>
                <w:bCs/>
                <w:sz w:val="22"/>
                <w:szCs w:val="22"/>
                <w:lang w:val="en-US"/>
              </w:rPr>
            </w:pPr>
            <w:r w:rsidRPr="00FA5819">
              <w:rPr>
                <w:bCs/>
                <w:sz w:val="22"/>
                <w:szCs w:val="22"/>
                <w:lang w:val="en-US"/>
              </w:rPr>
              <w:t>Digestibility (%)</w:t>
            </w:r>
          </w:p>
        </w:tc>
        <w:tc>
          <w:tcPr>
            <w:tcW w:w="532" w:type="pct"/>
          </w:tcPr>
          <w:p w14:paraId="526775E6" w14:textId="77777777" w:rsidR="00E156FC" w:rsidRPr="00FA5819" w:rsidRDefault="00E156FC" w:rsidP="00F47F12">
            <w:pPr>
              <w:spacing w:line="240" w:lineRule="auto"/>
              <w:jc w:val="center"/>
              <w:rPr>
                <w:bCs/>
                <w:sz w:val="22"/>
                <w:szCs w:val="22"/>
                <w:lang w:val="en-US"/>
              </w:rPr>
            </w:pPr>
          </w:p>
        </w:tc>
        <w:tc>
          <w:tcPr>
            <w:tcW w:w="475" w:type="pct"/>
          </w:tcPr>
          <w:p w14:paraId="6622D371" w14:textId="77777777" w:rsidR="00E156FC" w:rsidRPr="00FA5819" w:rsidRDefault="00E156FC" w:rsidP="00F47F12">
            <w:pPr>
              <w:spacing w:line="240" w:lineRule="auto"/>
              <w:jc w:val="center"/>
              <w:rPr>
                <w:bCs/>
                <w:sz w:val="22"/>
                <w:szCs w:val="22"/>
                <w:lang w:val="en-US"/>
              </w:rPr>
            </w:pPr>
          </w:p>
        </w:tc>
        <w:tc>
          <w:tcPr>
            <w:tcW w:w="475" w:type="pct"/>
          </w:tcPr>
          <w:p w14:paraId="61167C8D" w14:textId="77777777" w:rsidR="00E156FC" w:rsidRPr="00FA5819" w:rsidRDefault="00E156FC" w:rsidP="00F47F12">
            <w:pPr>
              <w:spacing w:line="240" w:lineRule="auto"/>
              <w:jc w:val="center"/>
              <w:rPr>
                <w:bCs/>
                <w:sz w:val="22"/>
                <w:szCs w:val="22"/>
                <w:lang w:val="en-US"/>
              </w:rPr>
            </w:pPr>
          </w:p>
        </w:tc>
        <w:tc>
          <w:tcPr>
            <w:tcW w:w="475" w:type="pct"/>
          </w:tcPr>
          <w:p w14:paraId="36B519A5" w14:textId="77777777" w:rsidR="00E156FC" w:rsidRPr="00FA5819" w:rsidRDefault="00E156FC" w:rsidP="00F47F12">
            <w:pPr>
              <w:spacing w:line="240" w:lineRule="auto"/>
              <w:jc w:val="center"/>
              <w:rPr>
                <w:bCs/>
                <w:sz w:val="22"/>
                <w:szCs w:val="22"/>
                <w:lang w:val="en-US"/>
              </w:rPr>
            </w:pPr>
          </w:p>
        </w:tc>
        <w:tc>
          <w:tcPr>
            <w:tcW w:w="458" w:type="pct"/>
          </w:tcPr>
          <w:p w14:paraId="5CA5A269" w14:textId="77777777" w:rsidR="00E156FC" w:rsidRPr="00FA5819" w:rsidRDefault="00E156FC" w:rsidP="00F47F12">
            <w:pPr>
              <w:spacing w:line="240" w:lineRule="auto"/>
              <w:jc w:val="center"/>
              <w:rPr>
                <w:bCs/>
                <w:sz w:val="22"/>
                <w:szCs w:val="22"/>
                <w:lang w:val="en-US"/>
              </w:rPr>
            </w:pPr>
          </w:p>
        </w:tc>
        <w:tc>
          <w:tcPr>
            <w:tcW w:w="475" w:type="pct"/>
          </w:tcPr>
          <w:p w14:paraId="59547D52" w14:textId="77777777" w:rsidR="00E156FC" w:rsidRPr="00FA5819" w:rsidRDefault="00E156FC" w:rsidP="00F47F12">
            <w:pPr>
              <w:spacing w:line="240" w:lineRule="auto"/>
              <w:jc w:val="center"/>
              <w:rPr>
                <w:bCs/>
                <w:sz w:val="22"/>
                <w:szCs w:val="22"/>
                <w:lang w:val="en-US"/>
              </w:rPr>
            </w:pPr>
          </w:p>
        </w:tc>
        <w:tc>
          <w:tcPr>
            <w:tcW w:w="391" w:type="pct"/>
          </w:tcPr>
          <w:p w14:paraId="19589134" w14:textId="77777777" w:rsidR="00E156FC" w:rsidRPr="00FA5819" w:rsidRDefault="00E156FC" w:rsidP="00F47F12">
            <w:pPr>
              <w:spacing w:line="240" w:lineRule="auto"/>
              <w:jc w:val="center"/>
              <w:rPr>
                <w:bCs/>
                <w:sz w:val="22"/>
                <w:szCs w:val="22"/>
                <w:lang w:val="en-US"/>
              </w:rPr>
            </w:pPr>
          </w:p>
        </w:tc>
        <w:tc>
          <w:tcPr>
            <w:tcW w:w="518" w:type="pct"/>
          </w:tcPr>
          <w:p w14:paraId="75C72645" w14:textId="77777777" w:rsidR="00E156FC" w:rsidRPr="00FA5819" w:rsidRDefault="00E156FC" w:rsidP="00F47F12">
            <w:pPr>
              <w:spacing w:line="240" w:lineRule="auto"/>
              <w:jc w:val="center"/>
              <w:rPr>
                <w:bCs/>
                <w:sz w:val="22"/>
                <w:szCs w:val="22"/>
                <w:lang w:val="en-US"/>
              </w:rPr>
            </w:pPr>
          </w:p>
        </w:tc>
      </w:tr>
      <w:tr w:rsidR="00E156FC" w:rsidRPr="00FA5819" w14:paraId="7DFE5363" w14:textId="77777777" w:rsidTr="00F47F12">
        <w:tc>
          <w:tcPr>
            <w:tcW w:w="1200" w:type="pct"/>
          </w:tcPr>
          <w:p w14:paraId="40A7DF43" w14:textId="77777777" w:rsidR="00E156FC" w:rsidRPr="00FA5819" w:rsidRDefault="00E156FC" w:rsidP="00F47F12">
            <w:pPr>
              <w:spacing w:line="240" w:lineRule="auto"/>
              <w:ind w:left="176"/>
              <w:rPr>
                <w:bCs/>
                <w:sz w:val="22"/>
                <w:szCs w:val="22"/>
                <w:lang w:val="en-US"/>
              </w:rPr>
            </w:pPr>
            <w:r w:rsidRPr="00FA5819">
              <w:rPr>
                <w:bCs/>
                <w:sz w:val="22"/>
                <w:szCs w:val="22"/>
                <w:lang w:val="en-US"/>
              </w:rPr>
              <w:t>IVTD</w:t>
            </w:r>
          </w:p>
        </w:tc>
        <w:tc>
          <w:tcPr>
            <w:tcW w:w="532" w:type="pct"/>
          </w:tcPr>
          <w:p w14:paraId="032CF678" w14:textId="7DA4B779" w:rsidR="00E156FC" w:rsidRPr="00FA5819" w:rsidRDefault="00E156FC" w:rsidP="00F47F12">
            <w:pPr>
              <w:spacing w:line="240" w:lineRule="auto"/>
              <w:jc w:val="center"/>
              <w:rPr>
                <w:bCs/>
                <w:sz w:val="22"/>
                <w:szCs w:val="22"/>
                <w:lang w:val="en-US"/>
              </w:rPr>
            </w:pPr>
            <w:r w:rsidRPr="00FA5819">
              <w:rPr>
                <w:bCs/>
                <w:sz w:val="22"/>
                <w:szCs w:val="22"/>
                <w:lang w:val="en-US"/>
              </w:rPr>
              <w:t>63.</w:t>
            </w:r>
            <w:r w:rsidR="00211503">
              <w:rPr>
                <w:bCs/>
                <w:sz w:val="22"/>
                <w:szCs w:val="22"/>
                <w:lang w:val="en-US"/>
              </w:rPr>
              <w:t>9</w:t>
            </w:r>
            <w:r w:rsidRPr="00FA5819">
              <w:rPr>
                <w:bCs/>
                <w:sz w:val="22"/>
                <w:szCs w:val="22"/>
                <w:vertAlign w:val="superscript"/>
                <w:lang w:val="en-US"/>
              </w:rPr>
              <w:t>a</w:t>
            </w:r>
          </w:p>
        </w:tc>
        <w:tc>
          <w:tcPr>
            <w:tcW w:w="475" w:type="pct"/>
          </w:tcPr>
          <w:p w14:paraId="6EF806FF" w14:textId="331FA40E" w:rsidR="00E156FC" w:rsidRPr="00FA5819" w:rsidRDefault="00E156FC" w:rsidP="00F47F12">
            <w:pPr>
              <w:spacing w:line="240" w:lineRule="auto"/>
              <w:jc w:val="center"/>
              <w:rPr>
                <w:bCs/>
                <w:sz w:val="22"/>
                <w:szCs w:val="22"/>
                <w:lang w:val="en-US"/>
              </w:rPr>
            </w:pPr>
            <w:r w:rsidRPr="00FA5819">
              <w:rPr>
                <w:bCs/>
                <w:sz w:val="22"/>
                <w:szCs w:val="22"/>
                <w:lang w:val="en-US"/>
              </w:rPr>
              <w:t>63.7</w:t>
            </w:r>
            <w:r w:rsidRPr="00FA5819">
              <w:rPr>
                <w:bCs/>
                <w:sz w:val="22"/>
                <w:szCs w:val="22"/>
                <w:vertAlign w:val="superscript"/>
                <w:lang w:val="en-US"/>
              </w:rPr>
              <w:t>ab</w:t>
            </w:r>
          </w:p>
        </w:tc>
        <w:tc>
          <w:tcPr>
            <w:tcW w:w="475" w:type="pct"/>
          </w:tcPr>
          <w:p w14:paraId="3C3167B0" w14:textId="1B1191F3" w:rsidR="00E156FC" w:rsidRPr="00FA5819" w:rsidRDefault="00E156FC" w:rsidP="00F47F12">
            <w:pPr>
              <w:spacing w:line="240" w:lineRule="auto"/>
              <w:jc w:val="center"/>
              <w:rPr>
                <w:bCs/>
                <w:sz w:val="22"/>
                <w:szCs w:val="22"/>
                <w:lang w:val="en-US"/>
              </w:rPr>
            </w:pPr>
            <w:r w:rsidRPr="00FA5819">
              <w:rPr>
                <w:bCs/>
                <w:sz w:val="22"/>
                <w:szCs w:val="22"/>
                <w:lang w:val="en-US"/>
              </w:rPr>
              <w:t>61.</w:t>
            </w:r>
            <w:r w:rsidR="00211503">
              <w:rPr>
                <w:bCs/>
                <w:sz w:val="22"/>
                <w:szCs w:val="22"/>
                <w:lang w:val="en-US"/>
              </w:rPr>
              <w:t>8</w:t>
            </w:r>
            <w:r w:rsidRPr="00FA5819">
              <w:rPr>
                <w:bCs/>
                <w:sz w:val="22"/>
                <w:szCs w:val="22"/>
                <w:vertAlign w:val="superscript"/>
                <w:lang w:val="en-US"/>
              </w:rPr>
              <w:t>ab</w:t>
            </w:r>
          </w:p>
        </w:tc>
        <w:tc>
          <w:tcPr>
            <w:tcW w:w="475" w:type="pct"/>
          </w:tcPr>
          <w:p w14:paraId="4E63AFDE" w14:textId="317C3E84" w:rsidR="00E156FC" w:rsidRPr="00FA5819" w:rsidRDefault="00E156FC" w:rsidP="00F47F12">
            <w:pPr>
              <w:spacing w:line="240" w:lineRule="auto"/>
              <w:jc w:val="center"/>
              <w:rPr>
                <w:bCs/>
                <w:sz w:val="22"/>
                <w:szCs w:val="22"/>
                <w:lang w:val="en-US"/>
              </w:rPr>
            </w:pPr>
            <w:r w:rsidRPr="00FA5819">
              <w:rPr>
                <w:bCs/>
                <w:sz w:val="22"/>
                <w:szCs w:val="22"/>
                <w:lang w:val="en-US"/>
              </w:rPr>
              <w:t>59.</w:t>
            </w:r>
            <w:r w:rsidR="00211503">
              <w:rPr>
                <w:bCs/>
                <w:sz w:val="22"/>
                <w:szCs w:val="22"/>
                <w:lang w:val="en-US"/>
              </w:rPr>
              <w:t>8</w:t>
            </w:r>
            <w:r w:rsidRPr="00FA5819">
              <w:rPr>
                <w:bCs/>
                <w:sz w:val="22"/>
                <w:szCs w:val="22"/>
                <w:vertAlign w:val="superscript"/>
                <w:lang w:val="en-US"/>
              </w:rPr>
              <w:t>b</w:t>
            </w:r>
          </w:p>
        </w:tc>
        <w:tc>
          <w:tcPr>
            <w:tcW w:w="458" w:type="pct"/>
          </w:tcPr>
          <w:p w14:paraId="615EA4D3" w14:textId="06771C12" w:rsidR="00E156FC" w:rsidRPr="00FA5819" w:rsidRDefault="00E156FC" w:rsidP="00F47F12">
            <w:pPr>
              <w:spacing w:line="240" w:lineRule="auto"/>
              <w:jc w:val="center"/>
              <w:rPr>
                <w:bCs/>
                <w:sz w:val="22"/>
                <w:szCs w:val="22"/>
                <w:lang w:val="en-US"/>
              </w:rPr>
            </w:pPr>
            <w:r w:rsidRPr="00FA5819">
              <w:rPr>
                <w:bCs/>
                <w:sz w:val="22"/>
                <w:szCs w:val="22"/>
                <w:lang w:val="en-US"/>
              </w:rPr>
              <w:t>59.7</w:t>
            </w:r>
            <w:r w:rsidRPr="00FA5819">
              <w:rPr>
                <w:bCs/>
                <w:sz w:val="22"/>
                <w:szCs w:val="22"/>
                <w:vertAlign w:val="superscript"/>
                <w:lang w:val="en-US"/>
              </w:rPr>
              <w:t>b</w:t>
            </w:r>
          </w:p>
        </w:tc>
        <w:tc>
          <w:tcPr>
            <w:tcW w:w="475" w:type="pct"/>
          </w:tcPr>
          <w:p w14:paraId="06E60FF1" w14:textId="19C192D6" w:rsidR="00E156FC" w:rsidRPr="00FA5819" w:rsidRDefault="00E156FC" w:rsidP="00F47F12">
            <w:pPr>
              <w:spacing w:line="240" w:lineRule="auto"/>
              <w:jc w:val="center"/>
              <w:rPr>
                <w:bCs/>
                <w:sz w:val="22"/>
                <w:szCs w:val="22"/>
                <w:lang w:val="en-US"/>
              </w:rPr>
            </w:pPr>
            <w:r w:rsidRPr="00FA5819">
              <w:rPr>
                <w:bCs/>
                <w:sz w:val="22"/>
                <w:szCs w:val="22"/>
                <w:lang w:val="en-US"/>
              </w:rPr>
              <w:t>62.</w:t>
            </w:r>
            <w:r w:rsidR="00211503">
              <w:rPr>
                <w:bCs/>
                <w:sz w:val="22"/>
                <w:szCs w:val="22"/>
                <w:lang w:val="en-US"/>
              </w:rPr>
              <w:t>6</w:t>
            </w:r>
            <w:r w:rsidRPr="00FA5819">
              <w:rPr>
                <w:bCs/>
                <w:sz w:val="22"/>
                <w:szCs w:val="22"/>
                <w:vertAlign w:val="superscript"/>
                <w:lang w:val="en-US"/>
              </w:rPr>
              <w:t>ab</w:t>
            </w:r>
          </w:p>
        </w:tc>
        <w:tc>
          <w:tcPr>
            <w:tcW w:w="391" w:type="pct"/>
          </w:tcPr>
          <w:p w14:paraId="42FE497F" w14:textId="77777777" w:rsidR="00E156FC" w:rsidRPr="00FA5819" w:rsidRDefault="00E156FC" w:rsidP="00F47F12">
            <w:pPr>
              <w:spacing w:line="240" w:lineRule="auto"/>
              <w:jc w:val="center"/>
              <w:rPr>
                <w:bCs/>
                <w:sz w:val="22"/>
                <w:szCs w:val="22"/>
                <w:lang w:val="en-US"/>
              </w:rPr>
            </w:pPr>
            <w:r w:rsidRPr="00FA5819">
              <w:rPr>
                <w:bCs/>
                <w:sz w:val="22"/>
                <w:szCs w:val="22"/>
                <w:lang w:val="en-US"/>
              </w:rPr>
              <w:t>1.66</w:t>
            </w:r>
          </w:p>
        </w:tc>
        <w:tc>
          <w:tcPr>
            <w:tcW w:w="518" w:type="pct"/>
          </w:tcPr>
          <w:p w14:paraId="305668C6" w14:textId="77777777" w:rsidR="00E156FC" w:rsidRPr="00FA5819" w:rsidRDefault="00E156FC" w:rsidP="00F47F12">
            <w:pPr>
              <w:spacing w:line="240" w:lineRule="auto"/>
              <w:jc w:val="center"/>
              <w:rPr>
                <w:bCs/>
                <w:sz w:val="22"/>
                <w:szCs w:val="22"/>
                <w:lang w:val="en-US"/>
              </w:rPr>
            </w:pPr>
            <w:r w:rsidRPr="00FA5819">
              <w:rPr>
                <w:bCs/>
                <w:sz w:val="22"/>
                <w:szCs w:val="22"/>
                <w:lang w:val="en-US"/>
              </w:rPr>
              <w:t>0.032</w:t>
            </w:r>
          </w:p>
        </w:tc>
      </w:tr>
      <w:tr w:rsidR="00E156FC" w:rsidRPr="00FA5819" w14:paraId="022328E6" w14:textId="77777777" w:rsidTr="00F47F12">
        <w:tc>
          <w:tcPr>
            <w:tcW w:w="1200" w:type="pct"/>
          </w:tcPr>
          <w:p w14:paraId="20D1E68B" w14:textId="77777777" w:rsidR="00E156FC" w:rsidRPr="00FA5819" w:rsidRDefault="00E156FC" w:rsidP="00F47F12">
            <w:pPr>
              <w:spacing w:line="240" w:lineRule="auto"/>
              <w:ind w:left="176"/>
              <w:rPr>
                <w:bCs/>
                <w:sz w:val="22"/>
                <w:szCs w:val="22"/>
                <w:lang w:val="en-US"/>
              </w:rPr>
            </w:pPr>
            <w:r w:rsidRPr="00FA5819">
              <w:rPr>
                <w:bCs/>
                <w:sz w:val="22"/>
                <w:szCs w:val="22"/>
                <w:lang w:val="en-US"/>
              </w:rPr>
              <w:t>IVOMD</w:t>
            </w:r>
          </w:p>
        </w:tc>
        <w:tc>
          <w:tcPr>
            <w:tcW w:w="532" w:type="pct"/>
          </w:tcPr>
          <w:p w14:paraId="2F86136D" w14:textId="322ACF2E" w:rsidR="00E156FC" w:rsidRPr="00FA5819" w:rsidRDefault="00E156FC" w:rsidP="00F47F12">
            <w:pPr>
              <w:spacing w:line="240" w:lineRule="auto"/>
              <w:jc w:val="center"/>
              <w:rPr>
                <w:bCs/>
                <w:sz w:val="22"/>
                <w:szCs w:val="22"/>
                <w:lang w:val="en-US"/>
              </w:rPr>
            </w:pPr>
            <w:r w:rsidRPr="00FA5819">
              <w:rPr>
                <w:bCs/>
                <w:sz w:val="22"/>
                <w:szCs w:val="22"/>
                <w:lang w:val="en-US"/>
              </w:rPr>
              <w:t>64.8</w:t>
            </w:r>
            <w:r w:rsidRPr="00FA5819">
              <w:rPr>
                <w:bCs/>
                <w:sz w:val="22"/>
                <w:szCs w:val="22"/>
                <w:vertAlign w:val="superscript"/>
                <w:lang w:val="en-US"/>
              </w:rPr>
              <w:t>a</w:t>
            </w:r>
          </w:p>
        </w:tc>
        <w:tc>
          <w:tcPr>
            <w:tcW w:w="475" w:type="pct"/>
          </w:tcPr>
          <w:p w14:paraId="45A40787" w14:textId="2F5AF915" w:rsidR="00E156FC" w:rsidRPr="00FA5819" w:rsidRDefault="00E156FC" w:rsidP="00F47F12">
            <w:pPr>
              <w:spacing w:line="240" w:lineRule="auto"/>
              <w:jc w:val="center"/>
              <w:rPr>
                <w:bCs/>
                <w:sz w:val="22"/>
                <w:szCs w:val="22"/>
                <w:lang w:val="en-US"/>
              </w:rPr>
            </w:pPr>
            <w:r w:rsidRPr="00FA5819">
              <w:rPr>
                <w:bCs/>
                <w:sz w:val="22"/>
                <w:szCs w:val="22"/>
                <w:lang w:val="en-US"/>
              </w:rPr>
              <w:t>63.9</w:t>
            </w:r>
            <w:r w:rsidRPr="00FA5819">
              <w:rPr>
                <w:bCs/>
                <w:sz w:val="22"/>
                <w:szCs w:val="22"/>
                <w:vertAlign w:val="superscript"/>
                <w:lang w:val="en-US"/>
              </w:rPr>
              <w:t>ab</w:t>
            </w:r>
          </w:p>
        </w:tc>
        <w:tc>
          <w:tcPr>
            <w:tcW w:w="475" w:type="pct"/>
          </w:tcPr>
          <w:p w14:paraId="40C19218" w14:textId="0E5697B3" w:rsidR="00E156FC" w:rsidRPr="00FA5819" w:rsidRDefault="00E156FC" w:rsidP="00F47F12">
            <w:pPr>
              <w:spacing w:line="240" w:lineRule="auto"/>
              <w:jc w:val="center"/>
              <w:rPr>
                <w:bCs/>
                <w:sz w:val="22"/>
                <w:szCs w:val="22"/>
                <w:lang w:val="en-US"/>
              </w:rPr>
            </w:pPr>
            <w:r w:rsidRPr="00FA5819">
              <w:rPr>
                <w:bCs/>
                <w:sz w:val="22"/>
                <w:szCs w:val="22"/>
                <w:lang w:val="en-US"/>
              </w:rPr>
              <w:t>62.</w:t>
            </w:r>
            <w:r w:rsidR="00211503">
              <w:rPr>
                <w:bCs/>
                <w:sz w:val="22"/>
                <w:szCs w:val="22"/>
                <w:lang w:val="en-US"/>
              </w:rPr>
              <w:t>3</w:t>
            </w:r>
            <w:r w:rsidRPr="00FA5819">
              <w:rPr>
                <w:bCs/>
                <w:sz w:val="22"/>
                <w:szCs w:val="22"/>
                <w:vertAlign w:val="superscript"/>
                <w:lang w:val="en-US"/>
              </w:rPr>
              <w:t>ab</w:t>
            </w:r>
          </w:p>
        </w:tc>
        <w:tc>
          <w:tcPr>
            <w:tcW w:w="475" w:type="pct"/>
          </w:tcPr>
          <w:p w14:paraId="5D0E8A91" w14:textId="2B065A9C" w:rsidR="00E156FC" w:rsidRPr="00FA5819" w:rsidRDefault="00E156FC" w:rsidP="00F47F12">
            <w:pPr>
              <w:spacing w:line="240" w:lineRule="auto"/>
              <w:jc w:val="center"/>
              <w:rPr>
                <w:bCs/>
                <w:sz w:val="22"/>
                <w:szCs w:val="22"/>
                <w:lang w:val="en-US"/>
              </w:rPr>
            </w:pPr>
            <w:r w:rsidRPr="00FA5819">
              <w:rPr>
                <w:bCs/>
                <w:sz w:val="22"/>
                <w:szCs w:val="22"/>
                <w:lang w:val="en-US"/>
              </w:rPr>
              <w:t>62.3</w:t>
            </w:r>
            <w:r w:rsidRPr="00FA5819">
              <w:rPr>
                <w:bCs/>
                <w:sz w:val="22"/>
                <w:szCs w:val="22"/>
                <w:vertAlign w:val="superscript"/>
                <w:lang w:val="en-US"/>
              </w:rPr>
              <w:t>b</w:t>
            </w:r>
          </w:p>
        </w:tc>
        <w:tc>
          <w:tcPr>
            <w:tcW w:w="458" w:type="pct"/>
          </w:tcPr>
          <w:p w14:paraId="11E6D371" w14:textId="63601877" w:rsidR="00E156FC" w:rsidRPr="00FA5819" w:rsidRDefault="00E156FC" w:rsidP="00F47F12">
            <w:pPr>
              <w:spacing w:line="240" w:lineRule="auto"/>
              <w:jc w:val="center"/>
              <w:rPr>
                <w:bCs/>
                <w:sz w:val="22"/>
                <w:szCs w:val="22"/>
                <w:lang w:val="en-US"/>
              </w:rPr>
            </w:pPr>
            <w:r w:rsidRPr="00FA5819">
              <w:rPr>
                <w:bCs/>
                <w:sz w:val="22"/>
                <w:szCs w:val="22"/>
                <w:lang w:val="en-US"/>
              </w:rPr>
              <w:t>62.</w:t>
            </w:r>
            <w:r w:rsidR="00211503">
              <w:rPr>
                <w:bCs/>
                <w:sz w:val="22"/>
                <w:szCs w:val="22"/>
                <w:lang w:val="en-US"/>
              </w:rPr>
              <w:t>3</w:t>
            </w:r>
            <w:r w:rsidRPr="00FA5819">
              <w:rPr>
                <w:bCs/>
                <w:sz w:val="22"/>
                <w:szCs w:val="22"/>
                <w:vertAlign w:val="superscript"/>
                <w:lang w:val="en-US"/>
              </w:rPr>
              <w:t>b</w:t>
            </w:r>
          </w:p>
        </w:tc>
        <w:tc>
          <w:tcPr>
            <w:tcW w:w="475" w:type="pct"/>
          </w:tcPr>
          <w:p w14:paraId="5F4A45B4" w14:textId="78976A10" w:rsidR="00E156FC" w:rsidRPr="00FA5819" w:rsidRDefault="00E156FC" w:rsidP="00F47F12">
            <w:pPr>
              <w:spacing w:line="240" w:lineRule="auto"/>
              <w:jc w:val="center"/>
              <w:rPr>
                <w:bCs/>
                <w:sz w:val="22"/>
                <w:szCs w:val="22"/>
                <w:lang w:val="en-US"/>
              </w:rPr>
            </w:pPr>
            <w:r w:rsidRPr="00FA5819">
              <w:rPr>
                <w:bCs/>
                <w:sz w:val="22"/>
                <w:szCs w:val="22"/>
                <w:lang w:val="en-US"/>
              </w:rPr>
              <w:t>63.2</w:t>
            </w:r>
            <w:r w:rsidRPr="00FA5819">
              <w:rPr>
                <w:bCs/>
                <w:sz w:val="22"/>
                <w:szCs w:val="22"/>
                <w:vertAlign w:val="superscript"/>
                <w:lang w:val="en-US"/>
              </w:rPr>
              <w:t>ab</w:t>
            </w:r>
          </w:p>
        </w:tc>
        <w:tc>
          <w:tcPr>
            <w:tcW w:w="391" w:type="pct"/>
          </w:tcPr>
          <w:p w14:paraId="3F60F850" w14:textId="77777777" w:rsidR="00E156FC" w:rsidRPr="00FA5819" w:rsidRDefault="00E156FC" w:rsidP="00F47F12">
            <w:pPr>
              <w:spacing w:line="240" w:lineRule="auto"/>
              <w:jc w:val="center"/>
              <w:rPr>
                <w:bCs/>
                <w:sz w:val="22"/>
                <w:szCs w:val="22"/>
                <w:lang w:val="en-US"/>
              </w:rPr>
            </w:pPr>
            <w:r w:rsidRPr="00FA5819">
              <w:rPr>
                <w:bCs/>
                <w:sz w:val="22"/>
                <w:szCs w:val="22"/>
                <w:lang w:val="en-US"/>
              </w:rPr>
              <w:t>1.33</w:t>
            </w:r>
          </w:p>
        </w:tc>
        <w:tc>
          <w:tcPr>
            <w:tcW w:w="518" w:type="pct"/>
          </w:tcPr>
          <w:p w14:paraId="0622DA73" w14:textId="77777777" w:rsidR="00E156FC" w:rsidRPr="00FA5819" w:rsidRDefault="00E156FC" w:rsidP="00F47F12">
            <w:pPr>
              <w:spacing w:line="240" w:lineRule="auto"/>
              <w:jc w:val="center"/>
              <w:rPr>
                <w:bCs/>
                <w:sz w:val="22"/>
                <w:szCs w:val="22"/>
                <w:lang w:val="en-US"/>
              </w:rPr>
            </w:pPr>
            <w:r w:rsidRPr="00FA5819">
              <w:rPr>
                <w:bCs/>
                <w:sz w:val="22"/>
                <w:szCs w:val="22"/>
                <w:lang w:val="en-US"/>
              </w:rPr>
              <w:t>0.018</w:t>
            </w:r>
          </w:p>
        </w:tc>
      </w:tr>
      <w:tr w:rsidR="00E156FC" w:rsidRPr="00FA5819" w14:paraId="45180B74" w14:textId="77777777" w:rsidTr="00F47F12">
        <w:tc>
          <w:tcPr>
            <w:tcW w:w="1200" w:type="pct"/>
          </w:tcPr>
          <w:p w14:paraId="19E4BF19" w14:textId="77777777" w:rsidR="00E156FC" w:rsidRPr="00FA5819" w:rsidRDefault="00E156FC" w:rsidP="00F47F12">
            <w:pPr>
              <w:spacing w:line="240" w:lineRule="auto"/>
              <w:ind w:left="176"/>
              <w:rPr>
                <w:bCs/>
                <w:sz w:val="22"/>
                <w:szCs w:val="22"/>
                <w:lang w:val="en-US"/>
              </w:rPr>
            </w:pPr>
            <w:r w:rsidRPr="00FA5819">
              <w:rPr>
                <w:bCs/>
                <w:sz w:val="22"/>
                <w:szCs w:val="22"/>
                <w:lang w:val="en-US"/>
              </w:rPr>
              <w:t>IVNDFD</w:t>
            </w:r>
          </w:p>
        </w:tc>
        <w:tc>
          <w:tcPr>
            <w:tcW w:w="532" w:type="pct"/>
          </w:tcPr>
          <w:p w14:paraId="7783D6C2" w14:textId="497096CE" w:rsidR="00E156FC" w:rsidRPr="00FA5819" w:rsidRDefault="00E156FC" w:rsidP="00F47F12">
            <w:pPr>
              <w:spacing w:line="240" w:lineRule="auto"/>
              <w:jc w:val="center"/>
              <w:rPr>
                <w:bCs/>
                <w:sz w:val="22"/>
                <w:szCs w:val="22"/>
                <w:lang w:val="en-US"/>
              </w:rPr>
            </w:pPr>
            <w:r w:rsidRPr="00FA5819">
              <w:rPr>
                <w:bCs/>
                <w:sz w:val="22"/>
                <w:szCs w:val="22"/>
                <w:lang w:val="en-US"/>
              </w:rPr>
              <w:t>29.</w:t>
            </w:r>
            <w:r w:rsidR="00211503">
              <w:rPr>
                <w:bCs/>
                <w:sz w:val="22"/>
                <w:szCs w:val="22"/>
                <w:lang w:val="en-US"/>
              </w:rPr>
              <w:t>2</w:t>
            </w:r>
            <w:r w:rsidRPr="00FA5819">
              <w:rPr>
                <w:bCs/>
                <w:sz w:val="22"/>
                <w:szCs w:val="22"/>
                <w:vertAlign w:val="superscript"/>
                <w:lang w:val="en-US"/>
              </w:rPr>
              <w:t>a</w:t>
            </w:r>
          </w:p>
        </w:tc>
        <w:tc>
          <w:tcPr>
            <w:tcW w:w="475" w:type="pct"/>
          </w:tcPr>
          <w:p w14:paraId="17D2B58F" w14:textId="7F562CEE" w:rsidR="00E156FC" w:rsidRPr="00FA5819" w:rsidRDefault="00E156FC" w:rsidP="00F47F12">
            <w:pPr>
              <w:spacing w:line="240" w:lineRule="auto"/>
              <w:jc w:val="center"/>
              <w:rPr>
                <w:bCs/>
                <w:sz w:val="22"/>
                <w:szCs w:val="22"/>
                <w:lang w:val="en-US"/>
              </w:rPr>
            </w:pPr>
            <w:r w:rsidRPr="00FA5819">
              <w:rPr>
                <w:bCs/>
                <w:sz w:val="22"/>
                <w:szCs w:val="22"/>
                <w:lang w:val="en-US"/>
              </w:rPr>
              <w:t>28.8</w:t>
            </w:r>
            <w:r w:rsidRPr="00FA5819">
              <w:rPr>
                <w:bCs/>
                <w:sz w:val="22"/>
                <w:szCs w:val="22"/>
                <w:vertAlign w:val="superscript"/>
                <w:lang w:val="en-US"/>
              </w:rPr>
              <w:t>ab</w:t>
            </w:r>
          </w:p>
        </w:tc>
        <w:tc>
          <w:tcPr>
            <w:tcW w:w="475" w:type="pct"/>
          </w:tcPr>
          <w:p w14:paraId="098BE3C7" w14:textId="2D69BA9F" w:rsidR="00E156FC" w:rsidRPr="00FA5819" w:rsidRDefault="00E156FC" w:rsidP="00F47F12">
            <w:pPr>
              <w:spacing w:line="240" w:lineRule="auto"/>
              <w:jc w:val="center"/>
              <w:rPr>
                <w:bCs/>
                <w:sz w:val="22"/>
                <w:szCs w:val="22"/>
                <w:lang w:val="en-US"/>
              </w:rPr>
            </w:pPr>
            <w:r w:rsidRPr="00FA5819">
              <w:rPr>
                <w:bCs/>
                <w:sz w:val="22"/>
                <w:szCs w:val="22"/>
                <w:lang w:val="en-US"/>
              </w:rPr>
              <w:t>25.</w:t>
            </w:r>
            <w:r w:rsidR="00211503">
              <w:rPr>
                <w:bCs/>
                <w:sz w:val="22"/>
                <w:szCs w:val="22"/>
                <w:lang w:val="en-US"/>
              </w:rPr>
              <w:t>1</w:t>
            </w:r>
            <w:r w:rsidRPr="00FA5819">
              <w:rPr>
                <w:bCs/>
                <w:sz w:val="22"/>
                <w:szCs w:val="22"/>
                <w:vertAlign w:val="superscript"/>
                <w:lang w:val="en-US"/>
              </w:rPr>
              <w:t>ab</w:t>
            </w:r>
          </w:p>
        </w:tc>
        <w:tc>
          <w:tcPr>
            <w:tcW w:w="475" w:type="pct"/>
          </w:tcPr>
          <w:p w14:paraId="56ADFEF1" w14:textId="1572583F" w:rsidR="00E156FC" w:rsidRPr="00FA5819" w:rsidRDefault="00E156FC" w:rsidP="00F47F12">
            <w:pPr>
              <w:spacing w:line="240" w:lineRule="auto"/>
              <w:jc w:val="center"/>
              <w:rPr>
                <w:bCs/>
                <w:sz w:val="22"/>
                <w:szCs w:val="22"/>
                <w:lang w:val="en-US"/>
              </w:rPr>
            </w:pPr>
            <w:r w:rsidRPr="00FA5819">
              <w:rPr>
                <w:bCs/>
                <w:sz w:val="22"/>
                <w:szCs w:val="22"/>
                <w:lang w:val="en-US"/>
              </w:rPr>
              <w:t>21.</w:t>
            </w:r>
            <w:r w:rsidR="00211503">
              <w:rPr>
                <w:bCs/>
                <w:sz w:val="22"/>
                <w:szCs w:val="22"/>
                <w:lang w:val="en-US"/>
              </w:rPr>
              <w:t>2</w:t>
            </w:r>
            <w:r w:rsidRPr="00FA5819">
              <w:rPr>
                <w:bCs/>
                <w:sz w:val="22"/>
                <w:szCs w:val="22"/>
                <w:vertAlign w:val="superscript"/>
                <w:lang w:val="en-US"/>
              </w:rPr>
              <w:t>b</w:t>
            </w:r>
          </w:p>
        </w:tc>
        <w:tc>
          <w:tcPr>
            <w:tcW w:w="458" w:type="pct"/>
          </w:tcPr>
          <w:p w14:paraId="6C1A3F7C" w14:textId="5EB02474" w:rsidR="00E156FC" w:rsidRPr="00FA5819" w:rsidRDefault="00E156FC" w:rsidP="00F47F12">
            <w:pPr>
              <w:spacing w:line="240" w:lineRule="auto"/>
              <w:jc w:val="center"/>
              <w:rPr>
                <w:bCs/>
                <w:sz w:val="22"/>
                <w:szCs w:val="22"/>
                <w:lang w:val="en-US"/>
              </w:rPr>
            </w:pPr>
            <w:r w:rsidRPr="00FA5819">
              <w:rPr>
                <w:bCs/>
                <w:sz w:val="22"/>
                <w:szCs w:val="22"/>
                <w:lang w:val="en-US"/>
              </w:rPr>
              <w:t>21.1</w:t>
            </w:r>
            <w:r w:rsidRPr="00FA5819">
              <w:rPr>
                <w:bCs/>
                <w:sz w:val="22"/>
                <w:szCs w:val="22"/>
                <w:vertAlign w:val="superscript"/>
                <w:lang w:val="en-US"/>
              </w:rPr>
              <w:t>b</w:t>
            </w:r>
          </w:p>
        </w:tc>
        <w:tc>
          <w:tcPr>
            <w:tcW w:w="475" w:type="pct"/>
          </w:tcPr>
          <w:p w14:paraId="46027361" w14:textId="669F4750" w:rsidR="00E156FC" w:rsidRPr="00FA5819" w:rsidRDefault="00E156FC" w:rsidP="00F47F12">
            <w:pPr>
              <w:spacing w:line="240" w:lineRule="auto"/>
              <w:jc w:val="center"/>
              <w:rPr>
                <w:bCs/>
                <w:sz w:val="22"/>
                <w:szCs w:val="22"/>
                <w:lang w:val="en-US"/>
              </w:rPr>
            </w:pPr>
            <w:r w:rsidRPr="00FA5819">
              <w:rPr>
                <w:bCs/>
                <w:sz w:val="22"/>
                <w:szCs w:val="22"/>
                <w:lang w:val="en-US"/>
              </w:rPr>
              <w:t>26.</w:t>
            </w:r>
            <w:r w:rsidR="00211503">
              <w:rPr>
                <w:bCs/>
                <w:sz w:val="22"/>
                <w:szCs w:val="22"/>
                <w:lang w:val="en-US"/>
              </w:rPr>
              <w:t>7</w:t>
            </w:r>
            <w:r w:rsidRPr="00FA5819">
              <w:rPr>
                <w:bCs/>
                <w:sz w:val="22"/>
                <w:szCs w:val="22"/>
                <w:vertAlign w:val="superscript"/>
                <w:lang w:val="en-US"/>
              </w:rPr>
              <w:t>ab</w:t>
            </w:r>
          </w:p>
        </w:tc>
        <w:tc>
          <w:tcPr>
            <w:tcW w:w="391" w:type="pct"/>
          </w:tcPr>
          <w:p w14:paraId="6711297A" w14:textId="77777777" w:rsidR="00E156FC" w:rsidRPr="00FA5819" w:rsidRDefault="00E156FC" w:rsidP="00F47F12">
            <w:pPr>
              <w:spacing w:line="240" w:lineRule="auto"/>
              <w:jc w:val="center"/>
              <w:rPr>
                <w:bCs/>
                <w:sz w:val="22"/>
                <w:szCs w:val="22"/>
                <w:lang w:val="en-US"/>
              </w:rPr>
            </w:pPr>
            <w:r w:rsidRPr="00FA5819">
              <w:rPr>
                <w:bCs/>
                <w:sz w:val="22"/>
                <w:szCs w:val="22"/>
                <w:lang w:val="en-US"/>
              </w:rPr>
              <w:t>3.26</w:t>
            </w:r>
          </w:p>
        </w:tc>
        <w:tc>
          <w:tcPr>
            <w:tcW w:w="518" w:type="pct"/>
          </w:tcPr>
          <w:p w14:paraId="187113FA" w14:textId="77777777" w:rsidR="00E156FC" w:rsidRPr="00FA5819" w:rsidRDefault="00E156FC" w:rsidP="00F47F12">
            <w:pPr>
              <w:spacing w:line="240" w:lineRule="auto"/>
              <w:jc w:val="center"/>
              <w:rPr>
                <w:bCs/>
                <w:sz w:val="22"/>
                <w:szCs w:val="22"/>
                <w:lang w:val="en-US"/>
              </w:rPr>
            </w:pPr>
            <w:r w:rsidRPr="00FA5819">
              <w:rPr>
                <w:bCs/>
                <w:sz w:val="22"/>
                <w:szCs w:val="22"/>
                <w:lang w:val="en-US"/>
              </w:rPr>
              <w:t>0.032</w:t>
            </w:r>
          </w:p>
        </w:tc>
      </w:tr>
    </w:tbl>
    <w:p w14:paraId="467C2C5E" w14:textId="77777777" w:rsidR="00E156FC" w:rsidRPr="00FC4B45" w:rsidRDefault="00E156FC" w:rsidP="00E156FC">
      <w:pPr>
        <w:spacing w:after="0" w:line="240" w:lineRule="auto"/>
        <w:rPr>
          <w:rFonts w:cs="Times New Roman"/>
          <w:bCs/>
          <w:sz w:val="20"/>
          <w:szCs w:val="20"/>
        </w:rPr>
      </w:pPr>
      <w:r w:rsidRPr="00FC4B45">
        <w:rPr>
          <w:rFonts w:cs="Times New Roman"/>
          <w:sz w:val="20"/>
          <w:szCs w:val="20"/>
          <w:vertAlign w:val="superscript"/>
        </w:rPr>
        <w:t xml:space="preserve">a-b </w:t>
      </w:r>
      <w:r w:rsidRPr="00FC4B45">
        <w:rPr>
          <w:rFonts w:cs="Times New Roman"/>
          <w:sz w:val="20"/>
          <w:szCs w:val="20"/>
        </w:rPr>
        <w:t xml:space="preserve">Means within a row with different superscripts are significantly different at </w:t>
      </w:r>
      <w:r w:rsidRPr="00FC4B45">
        <w:rPr>
          <w:rFonts w:cs="Times New Roman"/>
          <w:i/>
          <w:iCs/>
          <w:sz w:val="20"/>
          <w:szCs w:val="20"/>
        </w:rPr>
        <w:t>P</w:t>
      </w:r>
      <w:r w:rsidRPr="00FC4B45">
        <w:rPr>
          <w:rFonts w:cs="Times New Roman"/>
          <w:sz w:val="20"/>
          <w:szCs w:val="20"/>
        </w:rPr>
        <w:t>&lt;0.05 (</w:t>
      </w:r>
      <w:r w:rsidRPr="00FC4B45">
        <w:rPr>
          <w:rFonts w:cs="Times New Roman"/>
          <w:bCs/>
          <w:i/>
          <w:sz w:val="20"/>
          <w:szCs w:val="20"/>
        </w:rPr>
        <w:t>n</w:t>
      </w:r>
      <w:r w:rsidRPr="00FC4B45">
        <w:rPr>
          <w:rFonts w:cs="Times New Roman"/>
          <w:bCs/>
          <w:sz w:val="20"/>
          <w:szCs w:val="20"/>
        </w:rPr>
        <w:t xml:space="preserve">=6 for MCP and IVOMD and </w:t>
      </w:r>
      <w:r w:rsidRPr="00FC4B45">
        <w:rPr>
          <w:rFonts w:cs="Times New Roman"/>
          <w:bCs/>
          <w:i/>
          <w:sz w:val="20"/>
          <w:szCs w:val="20"/>
        </w:rPr>
        <w:t>n</w:t>
      </w:r>
      <w:r w:rsidRPr="00FC4B45">
        <w:rPr>
          <w:rFonts w:cs="Times New Roman"/>
          <w:bCs/>
          <w:sz w:val="20"/>
          <w:szCs w:val="20"/>
        </w:rPr>
        <w:t>=3 for other parameters).</w:t>
      </w:r>
    </w:p>
    <w:p w14:paraId="24BEFA13" w14:textId="4A94BCFF" w:rsidR="00E156FC" w:rsidRPr="00FC4B45" w:rsidRDefault="00E156FC" w:rsidP="00E156FC">
      <w:pPr>
        <w:spacing w:before="120" w:after="0" w:line="240" w:lineRule="auto"/>
        <w:rPr>
          <w:rFonts w:cs="Times New Roman"/>
          <w:bCs/>
          <w:sz w:val="24"/>
          <w:szCs w:val="24"/>
        </w:rPr>
      </w:pPr>
      <w:bookmarkStart w:id="12" w:name="_Toc420228177"/>
      <w:r w:rsidRPr="00FC4B45">
        <w:rPr>
          <w:rFonts w:cs="Times New Roman"/>
          <w:b/>
          <w:sz w:val="24"/>
          <w:szCs w:val="24"/>
          <w:shd w:val="clear" w:color="auto" w:fill="FFFFFF"/>
        </w:rPr>
        <w:lastRenderedPageBreak/>
        <w:t>Volatile fatty acids, nitrogen metabolism, and digestibility</w:t>
      </w:r>
      <w:bookmarkEnd w:id="12"/>
      <w:r w:rsidRPr="00FC4B45">
        <w:rPr>
          <w:rFonts w:cs="Times New Roman"/>
          <w:b/>
          <w:sz w:val="24"/>
          <w:szCs w:val="24"/>
          <w:shd w:val="clear" w:color="auto" w:fill="FFFFFF"/>
        </w:rPr>
        <w:t>:</w:t>
      </w:r>
      <w:r w:rsidRPr="00FC4B45">
        <w:rPr>
          <w:rFonts w:cs="Times New Roman"/>
          <w:b/>
          <w:bCs/>
          <w:sz w:val="24"/>
          <w:szCs w:val="24"/>
        </w:rPr>
        <w:t xml:space="preserve"> </w:t>
      </w:r>
      <w:r w:rsidRPr="00FC4B45">
        <w:rPr>
          <w:rFonts w:cs="Times New Roman"/>
          <w:bCs/>
          <w:sz w:val="24"/>
          <w:szCs w:val="24"/>
        </w:rPr>
        <w:t>Oil supplementation influenced on VFA production, microbial protein synthesis as well as nutrient digestibility (Table 3). The inclusion of SOFO had lower total VFA concentration (3.02 mmol/g DM) than the control (3.99 mmol/g DM). The molar proportions of acetate and propionate were strongly modified (</w:t>
      </w:r>
      <w:r w:rsidRPr="00FC4B45">
        <w:rPr>
          <w:rFonts w:cs="Times New Roman"/>
          <w:bCs/>
          <w:i/>
          <w:sz w:val="24"/>
          <w:szCs w:val="24"/>
        </w:rPr>
        <w:t>P</w:t>
      </w:r>
      <w:r w:rsidRPr="00FC4B45">
        <w:rPr>
          <w:rFonts w:cs="Times New Roman"/>
          <w:bCs/>
          <w:sz w:val="24"/>
          <w:szCs w:val="24"/>
        </w:rPr>
        <w:t>&lt;0.01) by SOFO supplementation, whereas butyrate proportion seemed to be less effect by additional oils (</w:t>
      </w:r>
      <w:r w:rsidRPr="00FC4B45">
        <w:rPr>
          <w:rFonts w:cs="Times New Roman"/>
          <w:bCs/>
          <w:i/>
          <w:sz w:val="24"/>
          <w:szCs w:val="24"/>
        </w:rPr>
        <w:t>P</w:t>
      </w:r>
      <w:r w:rsidRPr="00FC4B45">
        <w:rPr>
          <w:rFonts w:cs="Times New Roman"/>
          <w:bCs/>
          <w:sz w:val="24"/>
          <w:szCs w:val="24"/>
        </w:rPr>
        <w:t>=0.078). Addition of SOFO resulted in decreased acetate proportion (70.46%) but increased propionate proportion (19.1%) compared to those in the control (71.5 and 18.01%, respectively). These accompanied by decreasing of C2 to C3 ratio in the SOFO (3.74) compared to the control (4.03). Combinative oil inclusion had strongly modified MCP, but individual oil inclusion did not. Supplementation of LOFO and SOFO showed 0.48-0.49 g MCP/kg OM decrease relative to the control (</w:t>
      </w:r>
      <w:r w:rsidRPr="00FC4B45">
        <w:rPr>
          <w:rFonts w:cs="Times New Roman"/>
          <w:bCs/>
          <w:i/>
          <w:sz w:val="24"/>
          <w:szCs w:val="24"/>
        </w:rPr>
        <w:t>P</w:t>
      </w:r>
      <w:r w:rsidRPr="00FC4B45">
        <w:rPr>
          <w:rFonts w:cs="Times New Roman"/>
          <w:bCs/>
          <w:sz w:val="24"/>
          <w:szCs w:val="24"/>
        </w:rPr>
        <w:t>&lt;0.05). Compared to the control moreover, supplementing LOFO and SOFO declined (</w:t>
      </w:r>
      <w:r w:rsidRPr="00FC4B45">
        <w:rPr>
          <w:rFonts w:cs="Times New Roman"/>
          <w:bCs/>
          <w:i/>
          <w:sz w:val="24"/>
          <w:szCs w:val="24"/>
        </w:rPr>
        <w:t>P</w:t>
      </w:r>
      <w:r w:rsidRPr="00FC4B45">
        <w:rPr>
          <w:rFonts w:cs="Times New Roman"/>
          <w:bCs/>
          <w:sz w:val="24"/>
          <w:szCs w:val="24"/>
        </w:rPr>
        <w:t xml:space="preserve">&lt;0.05) </w:t>
      </w:r>
      <w:r w:rsidRPr="00FC4B45">
        <w:rPr>
          <w:rFonts w:cs="Times New Roman"/>
          <w:bCs/>
          <w:iCs/>
          <w:sz w:val="24"/>
          <w:szCs w:val="24"/>
        </w:rPr>
        <w:t>IV</w:t>
      </w:r>
      <w:r w:rsidRPr="00FC4B45">
        <w:rPr>
          <w:rFonts w:cs="Times New Roman"/>
          <w:bCs/>
          <w:sz w:val="24"/>
          <w:szCs w:val="24"/>
        </w:rPr>
        <w:t>TD, IVOMD, and IVNDFD. Inclusion of MIXO showed intermediate results of ruminal fermentation, microbial protein synthesis, and digestibility.</w:t>
      </w:r>
    </w:p>
    <w:p w14:paraId="4D8C8245" w14:textId="77777777" w:rsidR="00E156FC" w:rsidRPr="00FC4B45" w:rsidRDefault="00E156FC" w:rsidP="005429B5">
      <w:pPr>
        <w:pStyle w:val="Heading2"/>
        <w:rPr>
          <w:sz w:val="24"/>
          <w:szCs w:val="24"/>
        </w:rPr>
      </w:pPr>
      <w:bookmarkStart w:id="13" w:name="_Toc420228178"/>
      <w:r w:rsidRPr="00FC4B45">
        <w:rPr>
          <w:sz w:val="24"/>
          <w:szCs w:val="24"/>
        </w:rPr>
        <w:t>DISCUSSION</w:t>
      </w:r>
      <w:bookmarkEnd w:id="13"/>
    </w:p>
    <w:p w14:paraId="15AAD073" w14:textId="77777777" w:rsidR="0034482D" w:rsidRPr="00FC4B45" w:rsidRDefault="00E156FC" w:rsidP="0034482D">
      <w:pPr>
        <w:pStyle w:val="ListParagraph"/>
        <w:spacing w:before="120" w:after="120" w:line="240" w:lineRule="auto"/>
        <w:ind w:left="0"/>
        <w:rPr>
          <w:rFonts w:cs="Times New Roman"/>
          <w:bCs/>
          <w:sz w:val="24"/>
          <w:szCs w:val="24"/>
        </w:rPr>
      </w:pPr>
      <w:bookmarkStart w:id="14" w:name="_Toc420228179"/>
      <w:r w:rsidRPr="00FC4B45">
        <w:rPr>
          <w:rFonts w:cs="Times New Roman"/>
          <w:b/>
          <w:sz w:val="24"/>
          <w:szCs w:val="24"/>
          <w:shd w:val="clear" w:color="auto" w:fill="FFFFFF"/>
        </w:rPr>
        <w:t>Gas and methane production</w:t>
      </w:r>
      <w:bookmarkEnd w:id="14"/>
      <w:r w:rsidRPr="00FC4B45">
        <w:rPr>
          <w:rFonts w:cs="Times New Roman"/>
          <w:b/>
          <w:sz w:val="24"/>
          <w:szCs w:val="24"/>
          <w:shd w:val="clear" w:color="auto" w:fill="FFFFFF"/>
        </w:rPr>
        <w:t>:</w:t>
      </w:r>
      <w:r w:rsidRPr="00FC4B45">
        <w:rPr>
          <w:rFonts w:cs="Times New Roman"/>
          <w:sz w:val="24"/>
          <w:szCs w:val="24"/>
        </w:rPr>
        <w:t xml:space="preserve"> </w:t>
      </w:r>
      <w:r w:rsidRPr="00FC4B45">
        <w:rPr>
          <w:rFonts w:cs="Times New Roman"/>
          <w:bCs/>
          <w:noProof/>
          <w:sz w:val="24"/>
          <w:szCs w:val="24"/>
        </w:rPr>
        <w:t>Castagnino et al. (2015)</w:t>
      </w:r>
      <w:r w:rsidRPr="00FC4B45">
        <w:rPr>
          <w:rFonts w:cs="Times New Roman"/>
          <w:bCs/>
          <w:sz w:val="24"/>
          <w:szCs w:val="24"/>
        </w:rPr>
        <w:t xml:space="preserve"> reported that inclusion of soybean oil or linseed oil at 80 g/kg DM strongly decreased CH</w:t>
      </w:r>
      <w:r w:rsidRPr="00FC4B45">
        <w:rPr>
          <w:rFonts w:cs="Times New Roman"/>
          <w:bCs/>
          <w:sz w:val="24"/>
          <w:szCs w:val="24"/>
          <w:vertAlign w:val="subscript"/>
        </w:rPr>
        <w:t>4</w:t>
      </w:r>
      <w:r w:rsidRPr="00FC4B45">
        <w:rPr>
          <w:rFonts w:cs="Times New Roman"/>
          <w:bCs/>
          <w:sz w:val="24"/>
          <w:szCs w:val="24"/>
        </w:rPr>
        <w:t xml:space="preserve"> production through direct effect on rumen methanogens. However, addition of LO or SO alone at 3% DM in the current study didn’t show different effect on gas and </w:t>
      </w:r>
      <w:r w:rsidRPr="00FC4B45">
        <w:rPr>
          <w:rFonts w:cs="Times New Roman"/>
          <w:sz w:val="24"/>
          <w:szCs w:val="24"/>
        </w:rPr>
        <w:t>CH</w:t>
      </w:r>
      <w:r w:rsidRPr="00FC4B45">
        <w:rPr>
          <w:rFonts w:cs="Times New Roman"/>
          <w:sz w:val="24"/>
          <w:szCs w:val="24"/>
          <w:vertAlign w:val="subscript"/>
        </w:rPr>
        <w:t>4</w:t>
      </w:r>
      <w:r w:rsidRPr="00FC4B45">
        <w:rPr>
          <w:rFonts w:cs="Times New Roman"/>
          <w:bCs/>
          <w:sz w:val="24"/>
          <w:szCs w:val="24"/>
        </w:rPr>
        <w:t xml:space="preserve"> production. This might be due to the lower amounts of linseed and sunflower oils were used in this experiment. As expectation, treatments contained either LO or SO or both combined with FO reduced total gas production after 48 h incubation and protozoa population, whereas only mixture of both SO and FO showed greater reduction of CH</w:t>
      </w:r>
      <w:r w:rsidRPr="00FC4B45">
        <w:rPr>
          <w:rFonts w:cs="Times New Roman"/>
          <w:bCs/>
          <w:sz w:val="24"/>
          <w:szCs w:val="24"/>
          <w:vertAlign w:val="subscript"/>
        </w:rPr>
        <w:t>4</w:t>
      </w:r>
      <w:r w:rsidRPr="00FC4B45">
        <w:rPr>
          <w:rFonts w:cs="Times New Roman"/>
          <w:bCs/>
          <w:sz w:val="24"/>
          <w:szCs w:val="24"/>
        </w:rPr>
        <w:t xml:space="preserve"> production. Similar result was also found in the </w:t>
      </w:r>
      <w:r w:rsidRPr="00FC4B45">
        <w:rPr>
          <w:rFonts w:cs="Times New Roman"/>
          <w:bCs/>
          <w:i/>
          <w:sz w:val="24"/>
          <w:szCs w:val="24"/>
        </w:rPr>
        <w:t>in vitro</w:t>
      </w:r>
      <w:r w:rsidRPr="00FC4B45">
        <w:rPr>
          <w:rFonts w:cs="Times New Roman"/>
          <w:bCs/>
          <w:sz w:val="24"/>
          <w:szCs w:val="24"/>
        </w:rPr>
        <w:t xml:space="preserve"> research of </w:t>
      </w:r>
      <w:r w:rsidRPr="00FC4B45">
        <w:rPr>
          <w:rFonts w:cs="Times New Roman"/>
          <w:bCs/>
          <w:noProof/>
          <w:sz w:val="24"/>
          <w:szCs w:val="24"/>
        </w:rPr>
        <w:t>Toral et al. (2009)</w:t>
      </w:r>
      <w:r w:rsidRPr="00FC4B45">
        <w:rPr>
          <w:rFonts w:cs="Times New Roman"/>
          <w:bCs/>
          <w:sz w:val="24"/>
          <w:szCs w:val="24"/>
        </w:rPr>
        <w:t xml:space="preserve">. The greater effects of oil mixtures on gas production and protozoa than those in the control and individual oils might be a result of FO inclusion. Supporting this finding, </w:t>
      </w:r>
      <w:r w:rsidRPr="00FC4B45">
        <w:rPr>
          <w:rFonts w:cs="Times New Roman"/>
          <w:bCs/>
          <w:noProof/>
          <w:sz w:val="24"/>
          <w:szCs w:val="24"/>
        </w:rPr>
        <w:t>Fievez et al. (2003)</w:t>
      </w:r>
      <w:r w:rsidRPr="00FC4B45">
        <w:rPr>
          <w:rFonts w:cs="Times New Roman"/>
          <w:bCs/>
          <w:sz w:val="24"/>
          <w:szCs w:val="24"/>
        </w:rPr>
        <w:t xml:space="preserve"> concluded that FO had high potent to mitigate CH</w:t>
      </w:r>
      <w:r w:rsidRPr="00FC4B45">
        <w:rPr>
          <w:rFonts w:cs="Times New Roman"/>
          <w:bCs/>
          <w:sz w:val="24"/>
          <w:szCs w:val="24"/>
          <w:vertAlign w:val="subscript"/>
        </w:rPr>
        <w:t>4</w:t>
      </w:r>
      <w:r w:rsidRPr="00FC4B45">
        <w:rPr>
          <w:rFonts w:cs="Times New Roman"/>
          <w:bCs/>
          <w:sz w:val="24"/>
          <w:szCs w:val="24"/>
        </w:rPr>
        <w:t xml:space="preserve"> production through reduced ruminal methanogenesis. However, </w:t>
      </w:r>
      <w:r w:rsidRPr="00FC4B45">
        <w:rPr>
          <w:rFonts w:cs="Times New Roman"/>
          <w:bCs/>
          <w:noProof/>
          <w:sz w:val="24"/>
          <w:szCs w:val="24"/>
        </w:rPr>
        <w:t>Pirondini et al. (2015)</w:t>
      </w:r>
      <w:r w:rsidRPr="00FC4B45">
        <w:rPr>
          <w:rFonts w:cs="Times New Roman"/>
          <w:bCs/>
          <w:sz w:val="24"/>
          <w:szCs w:val="24"/>
        </w:rPr>
        <w:t xml:space="preserve"> didn’t see any significant effect on CH</w:t>
      </w:r>
      <w:r w:rsidRPr="00FC4B45">
        <w:rPr>
          <w:rFonts w:cs="Times New Roman"/>
          <w:bCs/>
          <w:sz w:val="24"/>
          <w:szCs w:val="24"/>
          <w:vertAlign w:val="subscript"/>
        </w:rPr>
        <w:t>4</w:t>
      </w:r>
      <w:r w:rsidRPr="00FC4B45">
        <w:rPr>
          <w:rFonts w:cs="Times New Roman"/>
          <w:bCs/>
          <w:sz w:val="24"/>
          <w:szCs w:val="24"/>
        </w:rPr>
        <w:t xml:space="preserve"> production as FO was added at low amount (0.8% DM) into the high or low starch contained-diets. A meta-analysis of </w:t>
      </w:r>
      <w:r w:rsidRPr="00FC4B45">
        <w:rPr>
          <w:rFonts w:cs="Times New Roman"/>
          <w:bCs/>
          <w:noProof/>
          <w:sz w:val="24"/>
          <w:szCs w:val="24"/>
        </w:rPr>
        <w:t>Patra (2013)</w:t>
      </w:r>
      <w:r w:rsidRPr="00FC4B45">
        <w:rPr>
          <w:rFonts w:cs="Times New Roman"/>
          <w:bCs/>
          <w:sz w:val="24"/>
          <w:szCs w:val="24"/>
        </w:rPr>
        <w:t xml:space="preserve"> showed that CH</w:t>
      </w:r>
      <w:r w:rsidRPr="00FC4B45">
        <w:rPr>
          <w:rFonts w:cs="Times New Roman"/>
          <w:bCs/>
          <w:sz w:val="24"/>
          <w:szCs w:val="24"/>
          <w:vertAlign w:val="subscript"/>
        </w:rPr>
        <w:t>4</w:t>
      </w:r>
      <w:r w:rsidRPr="00FC4B45">
        <w:rPr>
          <w:rFonts w:cs="Times New Roman"/>
          <w:bCs/>
          <w:sz w:val="24"/>
          <w:szCs w:val="24"/>
        </w:rPr>
        <w:t xml:space="preserve"> depression could be only detected when dietary lipid content more than 5%. In this study therefore the treatments containing 5.05% EE (2.05% from substrates and 3.00% from added oils) were high enough to observe the depression of gas and CH</w:t>
      </w:r>
      <w:r w:rsidRPr="00FC4B45">
        <w:rPr>
          <w:rFonts w:cs="Times New Roman"/>
          <w:bCs/>
          <w:sz w:val="24"/>
          <w:szCs w:val="24"/>
          <w:vertAlign w:val="subscript"/>
        </w:rPr>
        <w:t>4</w:t>
      </w:r>
      <w:r w:rsidRPr="00FC4B45">
        <w:rPr>
          <w:rFonts w:cs="Times New Roman"/>
          <w:bCs/>
          <w:sz w:val="24"/>
          <w:szCs w:val="24"/>
        </w:rPr>
        <w:t xml:space="preserve"> production. Rumen protozoa are responsible for symbiotic transfers of H</w:t>
      </w:r>
      <w:r w:rsidRPr="00FC4B45">
        <w:rPr>
          <w:rFonts w:cs="Times New Roman"/>
          <w:bCs/>
          <w:sz w:val="24"/>
          <w:szCs w:val="24"/>
          <w:vertAlign w:val="subscript"/>
        </w:rPr>
        <w:t>2</w:t>
      </w:r>
      <w:r w:rsidRPr="00FC4B45">
        <w:rPr>
          <w:rFonts w:cs="Times New Roman"/>
          <w:bCs/>
          <w:sz w:val="24"/>
          <w:szCs w:val="24"/>
        </w:rPr>
        <w:t xml:space="preserve"> with methanogens, which is used to reduce CO</w:t>
      </w:r>
      <w:r w:rsidRPr="00FC4B45">
        <w:rPr>
          <w:rFonts w:cs="Times New Roman"/>
          <w:bCs/>
          <w:sz w:val="24"/>
          <w:szCs w:val="24"/>
          <w:vertAlign w:val="subscript"/>
        </w:rPr>
        <w:t>2</w:t>
      </w:r>
      <w:r w:rsidRPr="00FC4B45">
        <w:rPr>
          <w:rFonts w:cs="Times New Roman"/>
          <w:bCs/>
          <w:sz w:val="24"/>
          <w:szCs w:val="24"/>
        </w:rPr>
        <w:t>–CH</w:t>
      </w:r>
      <w:r w:rsidRPr="00FC4B45">
        <w:rPr>
          <w:rFonts w:cs="Times New Roman"/>
          <w:bCs/>
          <w:sz w:val="24"/>
          <w:szCs w:val="24"/>
          <w:vertAlign w:val="subscript"/>
        </w:rPr>
        <w:t>4</w:t>
      </w:r>
      <w:r w:rsidRPr="00FC4B45">
        <w:rPr>
          <w:rFonts w:cs="Times New Roman"/>
          <w:bCs/>
          <w:sz w:val="24"/>
          <w:szCs w:val="24"/>
        </w:rPr>
        <w:t xml:space="preserve"> </w:t>
      </w:r>
      <w:r w:rsidRPr="00FC4B45">
        <w:rPr>
          <w:rFonts w:cs="Times New Roman"/>
          <w:bCs/>
          <w:noProof/>
          <w:sz w:val="24"/>
          <w:szCs w:val="24"/>
        </w:rPr>
        <w:t>(Newbold et al., 1995)</w:t>
      </w:r>
      <w:r w:rsidRPr="00FC4B45">
        <w:rPr>
          <w:rFonts w:cs="Times New Roman"/>
          <w:bCs/>
          <w:sz w:val="24"/>
          <w:szCs w:val="24"/>
        </w:rPr>
        <w:t>. The decreased CH</w:t>
      </w:r>
      <w:r w:rsidRPr="00FC4B45">
        <w:rPr>
          <w:rFonts w:cs="Times New Roman"/>
          <w:bCs/>
          <w:sz w:val="24"/>
          <w:szCs w:val="24"/>
          <w:vertAlign w:val="subscript"/>
        </w:rPr>
        <w:t>4</w:t>
      </w:r>
      <w:r w:rsidRPr="00FC4B45">
        <w:rPr>
          <w:rFonts w:cs="Times New Roman"/>
          <w:bCs/>
          <w:sz w:val="24"/>
          <w:szCs w:val="24"/>
        </w:rPr>
        <w:t xml:space="preserve"> production in the SOFO probably happened due to the UFA profile of these oil sources since supplementation of unsaturated oils can increase H</w:t>
      </w:r>
      <w:r w:rsidRPr="00FC4B45">
        <w:rPr>
          <w:rFonts w:cs="Times New Roman"/>
          <w:bCs/>
          <w:sz w:val="24"/>
          <w:szCs w:val="24"/>
          <w:vertAlign w:val="subscript"/>
        </w:rPr>
        <w:t>2</w:t>
      </w:r>
      <w:r w:rsidRPr="00FC4B45">
        <w:rPr>
          <w:rFonts w:cs="Times New Roman"/>
          <w:bCs/>
          <w:sz w:val="24"/>
          <w:szCs w:val="24"/>
        </w:rPr>
        <w:t xml:space="preserve"> consumption by BH </w:t>
      </w:r>
      <w:r w:rsidRPr="00FC4B45">
        <w:rPr>
          <w:rFonts w:cs="Times New Roman"/>
          <w:bCs/>
          <w:noProof/>
          <w:sz w:val="24"/>
          <w:szCs w:val="24"/>
        </w:rPr>
        <w:t>(Czerkawski, 1972)</w:t>
      </w:r>
      <w:r w:rsidRPr="00FC4B45">
        <w:rPr>
          <w:rFonts w:cs="Times New Roman"/>
          <w:bCs/>
          <w:sz w:val="24"/>
          <w:szCs w:val="24"/>
        </w:rPr>
        <w:t xml:space="preserve">. In addition, UFA may reduce protozoa counts, hence protozoa-associated methanogens, and may be also direct inhibitory effect on the membrane transport of methanogens </w:t>
      </w:r>
      <w:r w:rsidRPr="00FC4B45">
        <w:rPr>
          <w:rFonts w:cs="Times New Roman"/>
          <w:bCs/>
          <w:noProof/>
          <w:sz w:val="24"/>
          <w:szCs w:val="24"/>
        </w:rPr>
        <w:t>(Beauchemin et al., 2008)</w:t>
      </w:r>
      <w:r w:rsidRPr="00FC4B45">
        <w:rPr>
          <w:rFonts w:cs="Times New Roman"/>
          <w:bCs/>
          <w:sz w:val="24"/>
          <w:szCs w:val="24"/>
        </w:rPr>
        <w:t xml:space="preserve">. The greater mitigation of ruminal protozoa population, reflecting on reduced methanogens in the treatments of LO or/and SO with FO than those added oils alone seemed the results of synergistic effect of oil combination. This was also supported by </w:t>
      </w:r>
      <w:r w:rsidRPr="00FC4B45">
        <w:rPr>
          <w:rFonts w:cs="Times New Roman"/>
          <w:bCs/>
          <w:noProof/>
          <w:sz w:val="24"/>
          <w:szCs w:val="24"/>
        </w:rPr>
        <w:t>Soliva et al. (2004)</w:t>
      </w:r>
      <w:r w:rsidRPr="00FC4B45">
        <w:rPr>
          <w:rFonts w:cs="Times New Roman"/>
          <w:bCs/>
          <w:sz w:val="24"/>
          <w:szCs w:val="24"/>
        </w:rPr>
        <w:t xml:space="preserve">. The observed decrease of ruminal protozoa in this study were a result of oil supplementation rich in UFA. In fact, dietary lipids are almost hydrolyzed in the rumen by microbial lipases, releasing free LCFA that may inhibit activity of ruminal microorganisms. Among of LCFA, UFA are more antimicrobial than SFA </w:t>
      </w:r>
      <w:r w:rsidRPr="00FC4B45">
        <w:rPr>
          <w:rFonts w:cs="Times New Roman"/>
          <w:bCs/>
          <w:noProof/>
          <w:sz w:val="24"/>
          <w:szCs w:val="24"/>
        </w:rPr>
        <w:t>(Harfoot &amp; Hazlewood, 1997)</w:t>
      </w:r>
      <w:r w:rsidRPr="00FC4B45">
        <w:rPr>
          <w:rFonts w:cs="Times New Roman"/>
          <w:bCs/>
          <w:sz w:val="24"/>
          <w:szCs w:val="24"/>
        </w:rPr>
        <w:t xml:space="preserve">. Microbial toxicity of EPA and DHA has been reported to be greater than those from ALA and </w:t>
      </w:r>
      <w:r w:rsidRPr="00FC4B45">
        <w:rPr>
          <w:rFonts w:cs="Times New Roman"/>
          <w:bCs/>
          <w:sz w:val="24"/>
          <w:szCs w:val="24"/>
        </w:rPr>
        <w:lastRenderedPageBreak/>
        <w:t xml:space="preserve">LA </w:t>
      </w:r>
      <w:r w:rsidRPr="00FC4B45">
        <w:rPr>
          <w:rFonts w:cs="Times New Roman"/>
          <w:bCs/>
          <w:noProof/>
          <w:sz w:val="24"/>
          <w:szCs w:val="24"/>
        </w:rPr>
        <w:t>(Maia et al., 2007)</w:t>
      </w:r>
      <w:r w:rsidRPr="00FC4B45">
        <w:rPr>
          <w:rFonts w:cs="Times New Roman"/>
          <w:bCs/>
          <w:sz w:val="24"/>
          <w:szCs w:val="24"/>
        </w:rPr>
        <w:t>. In other words, FO has higher toxicity to rumen microbes than LO and SO.</w:t>
      </w:r>
      <w:bookmarkStart w:id="15" w:name="_Toc420228180"/>
    </w:p>
    <w:p w14:paraId="7FD765A8" w14:textId="6BA0DF7E" w:rsidR="00E156FC" w:rsidRPr="00FC4B45" w:rsidRDefault="00E156FC" w:rsidP="0034482D">
      <w:pPr>
        <w:pStyle w:val="ListParagraph"/>
        <w:spacing w:before="120" w:after="120" w:line="240" w:lineRule="auto"/>
        <w:ind w:left="0"/>
        <w:rPr>
          <w:rFonts w:cs="Times New Roman"/>
          <w:bCs/>
          <w:sz w:val="24"/>
          <w:szCs w:val="24"/>
        </w:rPr>
      </w:pPr>
      <w:r w:rsidRPr="00FC4B45">
        <w:rPr>
          <w:rFonts w:cs="Times New Roman"/>
          <w:b/>
          <w:sz w:val="24"/>
          <w:szCs w:val="24"/>
          <w:shd w:val="clear" w:color="auto" w:fill="FFFFFF"/>
        </w:rPr>
        <w:t>Ruminal fermentation and digestibility</w:t>
      </w:r>
      <w:bookmarkEnd w:id="15"/>
      <w:r w:rsidRPr="00FC4B45">
        <w:rPr>
          <w:rFonts w:cs="Times New Roman"/>
          <w:b/>
          <w:sz w:val="24"/>
          <w:szCs w:val="24"/>
          <w:shd w:val="clear" w:color="auto" w:fill="FFFFFF"/>
        </w:rPr>
        <w:t>:</w:t>
      </w:r>
      <w:r w:rsidRPr="00FC4B45">
        <w:rPr>
          <w:rFonts w:cs="Times New Roman"/>
          <w:bCs/>
          <w:sz w:val="24"/>
          <w:szCs w:val="24"/>
        </w:rPr>
        <w:t xml:space="preserve"> Mean pH was significantly lower (6.60) in the SOFO, and reduction was probably large enough to cause a disturbance in bacterial populations due to numerous decrease occurred on VFA production. The effect of oil supplementation on ruminal VFA content is inconsistent in previous studies. That reduced total VFA concentration in the SOFO was in line with evidence showing low VFA content with the inclusion of SO and FO mixture into rumen incubations </w:t>
      </w:r>
      <w:r w:rsidRPr="00FC4B45">
        <w:rPr>
          <w:rFonts w:cs="Times New Roman"/>
          <w:bCs/>
          <w:noProof/>
          <w:sz w:val="24"/>
          <w:szCs w:val="24"/>
        </w:rPr>
        <w:t>(Toral et al., 2009)</w:t>
      </w:r>
      <w:r w:rsidRPr="00FC4B45">
        <w:rPr>
          <w:rFonts w:cs="Times New Roman"/>
          <w:bCs/>
          <w:sz w:val="24"/>
          <w:szCs w:val="24"/>
        </w:rPr>
        <w:t xml:space="preserve">, whereas VFA content showed a higher result with SO supplementation </w:t>
      </w:r>
      <w:r w:rsidRPr="00FC4B45">
        <w:rPr>
          <w:rFonts w:cs="Times New Roman"/>
          <w:bCs/>
          <w:noProof/>
          <w:sz w:val="24"/>
          <w:szCs w:val="24"/>
        </w:rPr>
        <w:t>(Razzaghi et al., 2015)</w:t>
      </w:r>
      <w:r w:rsidRPr="00FC4B45">
        <w:rPr>
          <w:rFonts w:cs="Times New Roman"/>
          <w:bCs/>
          <w:sz w:val="24"/>
          <w:szCs w:val="24"/>
        </w:rPr>
        <w:t xml:space="preserve">. </w:t>
      </w:r>
      <w:r w:rsidRPr="00FC4B45">
        <w:rPr>
          <w:rFonts w:cs="Times New Roman"/>
          <w:bCs/>
          <w:noProof/>
          <w:sz w:val="24"/>
          <w:szCs w:val="24"/>
        </w:rPr>
        <w:t>AbuGhazaleh &amp; Ishlak (2014)</w:t>
      </w:r>
      <w:r w:rsidRPr="00FC4B45">
        <w:rPr>
          <w:rFonts w:cs="Times New Roman"/>
          <w:bCs/>
          <w:sz w:val="24"/>
          <w:szCs w:val="24"/>
        </w:rPr>
        <w:t xml:space="preserve"> and </w:t>
      </w:r>
      <w:r w:rsidRPr="00FC4B45">
        <w:rPr>
          <w:rFonts w:cs="Times New Roman"/>
          <w:bCs/>
          <w:noProof/>
          <w:sz w:val="24"/>
          <w:szCs w:val="24"/>
        </w:rPr>
        <w:t>Pirondini et al. (2015)</w:t>
      </w:r>
      <w:r w:rsidRPr="00FC4B45">
        <w:rPr>
          <w:rFonts w:cs="Times New Roman"/>
          <w:bCs/>
          <w:sz w:val="24"/>
          <w:szCs w:val="24"/>
        </w:rPr>
        <w:t xml:space="preserve"> didn’t find any change of total VFA concentration by FO addition. Concerning particular VFA proportions, supplementation of SOFO caused shift of rumen fermentation towards increase of propionate at the expense of acetate with no change in butyrate. The increase in molar proportion of ruminal propionate in the SOFO treatment is a consequence of a decrease in acetate molar proportion rather than an increase in propionate concentration. The unsaturated oil addition has been reported increase in propionate proportion and decrease in acetate proportion </w:t>
      </w:r>
      <w:r w:rsidRPr="00FC4B45">
        <w:rPr>
          <w:rFonts w:cs="Times New Roman"/>
          <w:bCs/>
          <w:noProof/>
          <w:sz w:val="24"/>
          <w:szCs w:val="24"/>
        </w:rPr>
        <w:t>(Razzaghi et al., 2015; Shingfield et al., 2011)</w:t>
      </w:r>
      <w:r w:rsidRPr="00FC4B45">
        <w:rPr>
          <w:rFonts w:cs="Times New Roman"/>
          <w:bCs/>
          <w:sz w:val="24"/>
          <w:szCs w:val="24"/>
        </w:rPr>
        <w:t xml:space="preserve">. The reduced acetate proportion by SOFO in this study suggests that the growth of predominant cellulolytic bacteria, such as </w:t>
      </w:r>
      <w:r w:rsidRPr="00FC4B45">
        <w:rPr>
          <w:rFonts w:cs="Times New Roman"/>
          <w:bCs/>
          <w:i/>
          <w:sz w:val="24"/>
          <w:szCs w:val="24"/>
        </w:rPr>
        <w:t>Fibrobacter succinogenes</w:t>
      </w:r>
      <w:r w:rsidRPr="00FC4B45">
        <w:rPr>
          <w:rFonts w:cs="Times New Roman"/>
          <w:bCs/>
          <w:sz w:val="24"/>
          <w:szCs w:val="24"/>
        </w:rPr>
        <w:t xml:space="preserve">, </w:t>
      </w:r>
      <w:r w:rsidRPr="00FC4B45">
        <w:rPr>
          <w:rFonts w:cs="Times New Roman"/>
          <w:bCs/>
          <w:i/>
          <w:sz w:val="24"/>
          <w:szCs w:val="24"/>
        </w:rPr>
        <w:t>Ruminococcus albus</w:t>
      </w:r>
      <w:r w:rsidRPr="00FC4B45">
        <w:rPr>
          <w:rFonts w:cs="Times New Roman"/>
          <w:bCs/>
          <w:iCs/>
          <w:sz w:val="24"/>
          <w:szCs w:val="24"/>
        </w:rPr>
        <w:t>,</w:t>
      </w:r>
      <w:r w:rsidRPr="00FC4B45">
        <w:rPr>
          <w:rFonts w:cs="Times New Roman"/>
          <w:bCs/>
          <w:sz w:val="24"/>
          <w:szCs w:val="24"/>
        </w:rPr>
        <w:t xml:space="preserve"> and </w:t>
      </w:r>
      <w:r w:rsidRPr="00FC4B45">
        <w:rPr>
          <w:rFonts w:cs="Times New Roman"/>
          <w:bCs/>
          <w:i/>
          <w:sz w:val="24"/>
          <w:szCs w:val="24"/>
        </w:rPr>
        <w:t xml:space="preserve">Ruminococcus flavefaciens, </w:t>
      </w:r>
      <w:r w:rsidRPr="00FC4B45">
        <w:rPr>
          <w:rFonts w:cs="Times New Roman"/>
          <w:bCs/>
          <w:sz w:val="24"/>
          <w:szCs w:val="24"/>
        </w:rPr>
        <w:t xml:space="preserve">which are considered as acetate-producing bacteria, have been more inhibited by PUFA from these oils </w:t>
      </w:r>
      <w:r w:rsidRPr="00FC4B45">
        <w:rPr>
          <w:rFonts w:cs="Times New Roman"/>
          <w:bCs/>
          <w:noProof/>
          <w:sz w:val="24"/>
          <w:szCs w:val="24"/>
        </w:rPr>
        <w:t>(Huws et al., 2010; Maia et al., 2007)</w:t>
      </w:r>
      <w:r w:rsidRPr="00FC4B45">
        <w:rPr>
          <w:rFonts w:cs="Times New Roman"/>
          <w:bCs/>
          <w:sz w:val="24"/>
          <w:szCs w:val="24"/>
        </w:rPr>
        <w:t xml:space="preserve">. The lower production of microbial protein in the LOFO and SOFO suggested that these oil compounds not only affected protozoa counts but also ruminal bacteria which involve microbial protein synthesis. The lower ruminal VFA production could be accompanied by lower digestibility. It was found in this study that the LOFO and SOFO decreased </w:t>
      </w:r>
      <w:r w:rsidRPr="00FC4B45">
        <w:rPr>
          <w:rFonts w:cs="Times New Roman"/>
          <w:bCs/>
          <w:i/>
          <w:sz w:val="24"/>
          <w:szCs w:val="24"/>
        </w:rPr>
        <w:t>in vitro</w:t>
      </w:r>
      <w:r w:rsidRPr="00FC4B45">
        <w:rPr>
          <w:rFonts w:cs="Times New Roman"/>
          <w:bCs/>
          <w:sz w:val="24"/>
          <w:szCs w:val="24"/>
        </w:rPr>
        <w:t xml:space="preserve"> digestibility, especially NDFD, reflecting on the negative influence of double bonds in the UFA present in these treatments. Supplementation of oils rich in UFA such as EPA, DHA, ALA, and LA can be harmful to microbial membrane in the rumen and cause metabolic disorders, mainly in fibrolytic bacterial populations </w:t>
      </w:r>
      <w:r w:rsidRPr="00FC4B45">
        <w:rPr>
          <w:rFonts w:cs="Times New Roman"/>
          <w:bCs/>
          <w:noProof/>
          <w:sz w:val="24"/>
          <w:szCs w:val="24"/>
        </w:rPr>
        <w:t>(Huws et al., 2010; Patra &amp; Yu, 2013; Yang et al., 2009)</w:t>
      </w:r>
      <w:r w:rsidRPr="00FC4B45">
        <w:rPr>
          <w:rFonts w:cs="Times New Roman"/>
          <w:bCs/>
          <w:sz w:val="24"/>
          <w:szCs w:val="24"/>
        </w:rPr>
        <w:t xml:space="preserve">. </w:t>
      </w:r>
    </w:p>
    <w:p w14:paraId="0563ECA0" w14:textId="77777777" w:rsidR="00E156FC" w:rsidRPr="00FC4B45" w:rsidRDefault="00E156FC" w:rsidP="005429B5">
      <w:pPr>
        <w:pStyle w:val="Heading2"/>
        <w:rPr>
          <w:sz w:val="24"/>
          <w:szCs w:val="24"/>
        </w:rPr>
      </w:pPr>
      <w:bookmarkStart w:id="16" w:name="_Toc420228181"/>
      <w:r w:rsidRPr="00FC4B45">
        <w:rPr>
          <w:sz w:val="24"/>
          <w:szCs w:val="24"/>
        </w:rPr>
        <w:t>CONCLUSIONS</w:t>
      </w:r>
      <w:bookmarkEnd w:id="16"/>
    </w:p>
    <w:p w14:paraId="65795CB6" w14:textId="43816085" w:rsidR="00E156FC" w:rsidRPr="00FC4B45" w:rsidRDefault="00E156FC" w:rsidP="00E156FC">
      <w:pPr>
        <w:spacing w:before="120" w:after="0" w:line="240" w:lineRule="auto"/>
        <w:rPr>
          <w:rFonts w:cs="Times New Roman"/>
          <w:bCs/>
          <w:sz w:val="24"/>
          <w:szCs w:val="24"/>
        </w:rPr>
      </w:pPr>
      <w:r w:rsidRPr="00FC4B45">
        <w:rPr>
          <w:rFonts w:cs="Times New Roman"/>
          <w:bCs/>
          <w:sz w:val="24"/>
          <w:szCs w:val="24"/>
        </w:rPr>
        <w:t xml:space="preserve">The supplementation of LOFO, SOFO, and MIXO at 3% DM showed a good strategy to reduce gas and </w:t>
      </w:r>
      <w:r w:rsidRPr="00FC4B45">
        <w:rPr>
          <w:rFonts w:cs="Times New Roman"/>
          <w:sz w:val="24"/>
          <w:szCs w:val="24"/>
        </w:rPr>
        <w:t>CH</w:t>
      </w:r>
      <w:r w:rsidRPr="00FC4B45">
        <w:rPr>
          <w:rFonts w:cs="Times New Roman"/>
          <w:sz w:val="24"/>
          <w:szCs w:val="24"/>
          <w:vertAlign w:val="subscript"/>
        </w:rPr>
        <w:t>4</w:t>
      </w:r>
      <w:r w:rsidRPr="00FC4B45">
        <w:rPr>
          <w:rFonts w:cs="Times New Roman"/>
          <w:bCs/>
          <w:sz w:val="24"/>
          <w:szCs w:val="24"/>
        </w:rPr>
        <w:t xml:space="preserve"> production. Both LOFO and SOFO showed disturbances in microbial protein synthesis and nutrient digestibility in the rumen, but only SOFO impaired total VFA concentration. However, rumen function was maintained with MIXO inclusion, To reduce gas and </w:t>
      </w:r>
      <w:r w:rsidRPr="00FC4B45">
        <w:rPr>
          <w:rFonts w:cs="Times New Roman"/>
          <w:sz w:val="24"/>
          <w:szCs w:val="24"/>
        </w:rPr>
        <w:t>CH</w:t>
      </w:r>
      <w:r w:rsidRPr="00FC4B45">
        <w:rPr>
          <w:rFonts w:cs="Times New Roman"/>
          <w:sz w:val="24"/>
          <w:szCs w:val="24"/>
          <w:vertAlign w:val="subscript"/>
        </w:rPr>
        <w:t>4</w:t>
      </w:r>
      <w:r w:rsidRPr="00FC4B45">
        <w:rPr>
          <w:rFonts w:cs="Times New Roman"/>
          <w:bCs/>
          <w:sz w:val="24"/>
          <w:szCs w:val="24"/>
        </w:rPr>
        <w:t xml:space="preserve"> production without affecting ruminal fermentation and digestibility, an ideal oil addition would be MIXO at 3% DM. Moreover, to understand deeply the effects of this oil compound on shift of ruminal FA and microbial diversity, further aspects involving ruminal biohydrogenation and molecular-based studies would be advisable.    </w:t>
      </w:r>
    </w:p>
    <w:p w14:paraId="5560974C" w14:textId="6DC3F01C" w:rsidR="005429B5" w:rsidRPr="00FC4B45" w:rsidRDefault="005429B5" w:rsidP="005429B5">
      <w:pPr>
        <w:pStyle w:val="Heading2"/>
        <w:rPr>
          <w:sz w:val="24"/>
          <w:szCs w:val="24"/>
        </w:rPr>
      </w:pPr>
      <w:r w:rsidRPr="00FC4B45">
        <w:rPr>
          <w:sz w:val="24"/>
          <w:szCs w:val="24"/>
        </w:rPr>
        <w:t>ACKNOWLEDGMENT</w:t>
      </w:r>
    </w:p>
    <w:p w14:paraId="7DB1793C" w14:textId="549CEDE9" w:rsidR="005429B5" w:rsidRPr="00FC4B45" w:rsidRDefault="00F33727" w:rsidP="00F33727">
      <w:pPr>
        <w:spacing w:before="120" w:after="0" w:line="240" w:lineRule="auto"/>
        <w:rPr>
          <w:rFonts w:cs="Times New Roman"/>
          <w:bCs/>
          <w:sz w:val="24"/>
          <w:szCs w:val="24"/>
        </w:rPr>
      </w:pPr>
      <w:r w:rsidRPr="00FC4B45">
        <w:rPr>
          <w:rFonts w:cs="Times New Roman"/>
          <w:bCs/>
          <w:sz w:val="24"/>
          <w:szCs w:val="24"/>
        </w:rPr>
        <w:t>This study was supported in part by the Can Tho University Improvement Project VN14-P6 supported by a Japanese ODA Loan under</w:t>
      </w:r>
      <w:r w:rsidRPr="00FC4B45">
        <w:rPr>
          <w:rFonts w:cs="Times New Roman"/>
          <w:bCs/>
          <w:sz w:val="24"/>
          <w:szCs w:val="24"/>
        </w:rPr>
        <w:t xml:space="preserve"> </w:t>
      </w:r>
      <w:r w:rsidRPr="00FC4B45">
        <w:rPr>
          <w:rFonts w:cs="Times New Roman"/>
          <w:bCs/>
          <w:sz w:val="24"/>
          <w:szCs w:val="24"/>
        </w:rPr>
        <w:t>Grant No. A9</w:t>
      </w:r>
      <w:r w:rsidR="00211503">
        <w:rPr>
          <w:rFonts w:cs="Times New Roman"/>
          <w:bCs/>
          <w:sz w:val="24"/>
          <w:szCs w:val="24"/>
        </w:rPr>
        <w:t>.</w:t>
      </w:r>
    </w:p>
    <w:p w14:paraId="7BE6A0DC" w14:textId="77777777" w:rsidR="00E156FC" w:rsidRPr="00FC4B45" w:rsidRDefault="00E156FC" w:rsidP="005429B5">
      <w:pPr>
        <w:pStyle w:val="Heading2"/>
        <w:rPr>
          <w:sz w:val="24"/>
          <w:szCs w:val="24"/>
        </w:rPr>
      </w:pPr>
      <w:bookmarkStart w:id="17" w:name="_Toc420228182"/>
      <w:r w:rsidRPr="00FC4B45">
        <w:rPr>
          <w:sz w:val="24"/>
          <w:szCs w:val="24"/>
        </w:rPr>
        <w:t>REFERENCES</w:t>
      </w:r>
      <w:bookmarkEnd w:id="17"/>
    </w:p>
    <w:p w14:paraId="59B60398" w14:textId="73810C66" w:rsidR="00E156FC" w:rsidRPr="00FC4B45" w:rsidRDefault="00E156FC" w:rsidP="00E156FC">
      <w:pPr>
        <w:pStyle w:val="EndNoteBibliography"/>
        <w:spacing w:before="60" w:after="0" w:line="240" w:lineRule="auto"/>
        <w:jc w:val="both"/>
        <w:rPr>
          <w:sz w:val="20"/>
          <w:szCs w:val="20"/>
        </w:rPr>
      </w:pPr>
      <w:bookmarkStart w:id="18" w:name="_ENREF_1"/>
      <w:r w:rsidRPr="00FC4B45">
        <w:rPr>
          <w:sz w:val="20"/>
          <w:szCs w:val="20"/>
        </w:rPr>
        <w:t>AbuGhazaleh A</w:t>
      </w:r>
      <w:r w:rsidR="00F47F12" w:rsidRPr="00FC4B45">
        <w:rPr>
          <w:sz w:val="20"/>
          <w:szCs w:val="20"/>
        </w:rPr>
        <w:t>.</w:t>
      </w:r>
      <w:r w:rsidRPr="00FC4B45">
        <w:rPr>
          <w:sz w:val="20"/>
          <w:szCs w:val="20"/>
        </w:rPr>
        <w:t>A</w:t>
      </w:r>
      <w:r w:rsidR="00F47F12" w:rsidRPr="00FC4B45">
        <w:rPr>
          <w:sz w:val="20"/>
          <w:szCs w:val="20"/>
        </w:rPr>
        <w:t>.</w:t>
      </w:r>
      <w:r w:rsidRPr="00FC4B45">
        <w:rPr>
          <w:sz w:val="20"/>
          <w:szCs w:val="20"/>
        </w:rPr>
        <w:t>, Ishlak A</w:t>
      </w:r>
      <w:r w:rsidR="00F47F12" w:rsidRPr="00FC4B45">
        <w:rPr>
          <w:sz w:val="20"/>
          <w:szCs w:val="20"/>
        </w:rPr>
        <w:t>.</w:t>
      </w:r>
      <w:r w:rsidRPr="00FC4B45">
        <w:rPr>
          <w:sz w:val="20"/>
          <w:szCs w:val="20"/>
        </w:rPr>
        <w:t xml:space="preserve"> (2014)</w:t>
      </w:r>
      <w:r w:rsidR="00F47F12" w:rsidRPr="00FC4B45">
        <w:rPr>
          <w:sz w:val="20"/>
          <w:szCs w:val="20"/>
        </w:rPr>
        <w:t>.</w:t>
      </w:r>
      <w:r w:rsidRPr="00FC4B45">
        <w:rPr>
          <w:sz w:val="20"/>
          <w:szCs w:val="20"/>
        </w:rPr>
        <w:t xml:space="preserve"> Effects of incremental amounts of fish oil on </w:t>
      </w:r>
      <w:r w:rsidRPr="00FC4B45">
        <w:rPr>
          <w:i/>
          <w:sz w:val="20"/>
          <w:szCs w:val="20"/>
        </w:rPr>
        <w:t>trans</w:t>
      </w:r>
      <w:r w:rsidRPr="00FC4B45">
        <w:rPr>
          <w:sz w:val="20"/>
          <w:szCs w:val="20"/>
        </w:rPr>
        <w:t xml:space="preserve"> fatty acids and </w:t>
      </w:r>
      <w:r w:rsidRPr="00FC4B45">
        <w:rPr>
          <w:i/>
          <w:sz w:val="20"/>
          <w:szCs w:val="20"/>
        </w:rPr>
        <w:t xml:space="preserve">Butyrivibrio </w:t>
      </w:r>
      <w:r w:rsidRPr="00FC4B45">
        <w:rPr>
          <w:sz w:val="20"/>
          <w:szCs w:val="20"/>
        </w:rPr>
        <w:t>bacteria in continuous culture fermenters. Journal of Animal Physiology and Animal Nutrition</w:t>
      </w:r>
      <w:r w:rsidR="00811916" w:rsidRPr="00FC4B45">
        <w:rPr>
          <w:sz w:val="20"/>
          <w:szCs w:val="20"/>
        </w:rPr>
        <w:t>.</w:t>
      </w:r>
      <w:r w:rsidRPr="00FC4B45">
        <w:rPr>
          <w:sz w:val="20"/>
          <w:szCs w:val="20"/>
        </w:rPr>
        <w:t xml:space="preserve"> 98(2): 271-278.</w:t>
      </w:r>
      <w:bookmarkEnd w:id="18"/>
    </w:p>
    <w:p w14:paraId="36B4B8CF" w14:textId="267FA1E6" w:rsidR="00E156FC" w:rsidRPr="00FC4B45" w:rsidRDefault="00E156FC" w:rsidP="00E156FC">
      <w:pPr>
        <w:pStyle w:val="EndNoteBibliography"/>
        <w:spacing w:before="60" w:after="0" w:line="240" w:lineRule="auto"/>
        <w:jc w:val="both"/>
        <w:rPr>
          <w:sz w:val="20"/>
          <w:szCs w:val="20"/>
        </w:rPr>
      </w:pPr>
      <w:bookmarkStart w:id="19" w:name="_ENREF_2"/>
      <w:r w:rsidRPr="00FC4B45">
        <w:rPr>
          <w:sz w:val="20"/>
          <w:szCs w:val="20"/>
        </w:rPr>
        <w:t>AOAC</w:t>
      </w:r>
      <w:r w:rsidR="009D68CA" w:rsidRPr="00FC4B45">
        <w:rPr>
          <w:sz w:val="20"/>
          <w:szCs w:val="20"/>
        </w:rPr>
        <w:t>.</w:t>
      </w:r>
      <w:r w:rsidRPr="00FC4B45">
        <w:rPr>
          <w:sz w:val="20"/>
          <w:szCs w:val="20"/>
        </w:rPr>
        <w:t xml:space="preserve"> (1998)</w:t>
      </w:r>
      <w:r w:rsidR="009D68CA" w:rsidRPr="00FC4B45">
        <w:rPr>
          <w:sz w:val="20"/>
          <w:szCs w:val="20"/>
        </w:rPr>
        <w:t>.</w:t>
      </w:r>
      <w:r w:rsidRPr="00FC4B45">
        <w:rPr>
          <w:sz w:val="20"/>
          <w:szCs w:val="20"/>
        </w:rPr>
        <w:t xml:space="preserve"> Official method of analysis. </w:t>
      </w:r>
      <w:r w:rsidR="00811916" w:rsidRPr="00FC4B45">
        <w:rPr>
          <w:sz w:val="20"/>
          <w:szCs w:val="20"/>
        </w:rPr>
        <w:t>Si</w:t>
      </w:r>
      <w:r w:rsidRPr="00FC4B45">
        <w:rPr>
          <w:sz w:val="20"/>
          <w:szCs w:val="20"/>
        </w:rPr>
        <w:t>xteenth. AOAC International, Washington D.C.</w:t>
      </w:r>
      <w:bookmarkEnd w:id="19"/>
    </w:p>
    <w:p w14:paraId="4E22A7D4" w14:textId="0AE69971" w:rsidR="00E156FC" w:rsidRPr="00FC4B45" w:rsidRDefault="00E156FC" w:rsidP="00E156FC">
      <w:pPr>
        <w:pStyle w:val="EndNoteBibliography"/>
        <w:spacing w:before="60" w:after="0" w:line="240" w:lineRule="auto"/>
        <w:jc w:val="both"/>
        <w:rPr>
          <w:sz w:val="20"/>
          <w:szCs w:val="20"/>
        </w:rPr>
      </w:pPr>
      <w:bookmarkStart w:id="20" w:name="_ENREF_3"/>
      <w:r w:rsidRPr="00FC4B45">
        <w:rPr>
          <w:sz w:val="20"/>
          <w:szCs w:val="20"/>
        </w:rPr>
        <w:lastRenderedPageBreak/>
        <w:t>Beauchemin K</w:t>
      </w:r>
      <w:r w:rsidR="00F47F12" w:rsidRPr="00FC4B45">
        <w:rPr>
          <w:sz w:val="20"/>
          <w:szCs w:val="20"/>
        </w:rPr>
        <w:t>.</w:t>
      </w:r>
      <w:r w:rsidRPr="00FC4B45">
        <w:rPr>
          <w:sz w:val="20"/>
          <w:szCs w:val="20"/>
        </w:rPr>
        <w:t>A</w:t>
      </w:r>
      <w:r w:rsidR="00F47F12" w:rsidRPr="00FC4B45">
        <w:rPr>
          <w:sz w:val="20"/>
          <w:szCs w:val="20"/>
        </w:rPr>
        <w:t>.</w:t>
      </w:r>
      <w:r w:rsidRPr="00FC4B45">
        <w:rPr>
          <w:sz w:val="20"/>
          <w:szCs w:val="20"/>
        </w:rPr>
        <w:t>, Kreuzer M</w:t>
      </w:r>
      <w:r w:rsidR="00F47F12" w:rsidRPr="00FC4B45">
        <w:rPr>
          <w:sz w:val="20"/>
          <w:szCs w:val="20"/>
        </w:rPr>
        <w:t>.</w:t>
      </w:r>
      <w:r w:rsidRPr="00FC4B45">
        <w:rPr>
          <w:sz w:val="20"/>
          <w:szCs w:val="20"/>
        </w:rPr>
        <w:t>, O’Mara F</w:t>
      </w:r>
      <w:r w:rsidR="00F47F12" w:rsidRPr="00FC4B45">
        <w:rPr>
          <w:sz w:val="20"/>
          <w:szCs w:val="20"/>
        </w:rPr>
        <w:t>.</w:t>
      </w:r>
      <w:r w:rsidRPr="00FC4B45">
        <w:rPr>
          <w:sz w:val="20"/>
          <w:szCs w:val="20"/>
        </w:rPr>
        <w:t>, McAllister T</w:t>
      </w:r>
      <w:r w:rsidR="00F47F12" w:rsidRPr="00FC4B45">
        <w:rPr>
          <w:sz w:val="20"/>
          <w:szCs w:val="20"/>
        </w:rPr>
        <w:t>.</w:t>
      </w:r>
      <w:r w:rsidRPr="00FC4B45">
        <w:rPr>
          <w:sz w:val="20"/>
          <w:szCs w:val="20"/>
        </w:rPr>
        <w:t>A</w:t>
      </w:r>
      <w:r w:rsidR="00F47F12" w:rsidRPr="00FC4B45">
        <w:rPr>
          <w:sz w:val="20"/>
          <w:szCs w:val="20"/>
        </w:rPr>
        <w:t>.</w:t>
      </w:r>
      <w:r w:rsidRPr="00FC4B45">
        <w:rPr>
          <w:sz w:val="20"/>
          <w:szCs w:val="20"/>
        </w:rPr>
        <w:t xml:space="preserve"> (2008)</w:t>
      </w:r>
      <w:r w:rsidR="00F47F12" w:rsidRPr="00FC4B45">
        <w:rPr>
          <w:sz w:val="20"/>
          <w:szCs w:val="20"/>
        </w:rPr>
        <w:t>.</w:t>
      </w:r>
      <w:r w:rsidRPr="00FC4B45">
        <w:rPr>
          <w:sz w:val="20"/>
          <w:szCs w:val="20"/>
        </w:rPr>
        <w:t xml:space="preserve"> Nutritional management for enteric methane abatement: a review. Australian Journal of Experimental Agriculture</w:t>
      </w:r>
      <w:r w:rsidR="00811916" w:rsidRPr="00FC4B45">
        <w:rPr>
          <w:sz w:val="20"/>
          <w:szCs w:val="20"/>
        </w:rPr>
        <w:t>.</w:t>
      </w:r>
      <w:r w:rsidRPr="00FC4B45">
        <w:rPr>
          <w:sz w:val="20"/>
          <w:szCs w:val="20"/>
        </w:rPr>
        <w:t xml:space="preserve"> 48(2): 21-27.</w:t>
      </w:r>
      <w:bookmarkEnd w:id="20"/>
    </w:p>
    <w:p w14:paraId="228D468F" w14:textId="1D3A064E" w:rsidR="00E156FC" w:rsidRPr="00FC4B45" w:rsidRDefault="00E156FC" w:rsidP="00E156FC">
      <w:pPr>
        <w:pStyle w:val="EndNoteBibliography"/>
        <w:spacing w:before="60" w:after="0" w:line="240" w:lineRule="auto"/>
        <w:jc w:val="both"/>
        <w:rPr>
          <w:sz w:val="20"/>
          <w:szCs w:val="20"/>
        </w:rPr>
      </w:pPr>
      <w:bookmarkStart w:id="21" w:name="_ENREF_4"/>
      <w:r w:rsidRPr="00FC4B45">
        <w:rPr>
          <w:sz w:val="20"/>
          <w:szCs w:val="20"/>
        </w:rPr>
        <w:t>Benchaar C</w:t>
      </w:r>
      <w:r w:rsidR="00F47F12" w:rsidRPr="00FC4B45">
        <w:rPr>
          <w:sz w:val="20"/>
          <w:szCs w:val="20"/>
        </w:rPr>
        <w:t>.</w:t>
      </w:r>
      <w:r w:rsidRPr="00FC4B45">
        <w:rPr>
          <w:sz w:val="20"/>
          <w:szCs w:val="20"/>
        </w:rPr>
        <w:t>, Romero-Pérez G</w:t>
      </w:r>
      <w:r w:rsidR="00F47F12" w:rsidRPr="00FC4B45">
        <w:rPr>
          <w:sz w:val="20"/>
          <w:szCs w:val="20"/>
        </w:rPr>
        <w:t>.</w:t>
      </w:r>
      <w:r w:rsidRPr="00FC4B45">
        <w:rPr>
          <w:sz w:val="20"/>
          <w:szCs w:val="20"/>
        </w:rPr>
        <w:t>A</w:t>
      </w:r>
      <w:r w:rsidR="00F47F12" w:rsidRPr="00FC4B45">
        <w:rPr>
          <w:sz w:val="20"/>
          <w:szCs w:val="20"/>
        </w:rPr>
        <w:t>.</w:t>
      </w:r>
      <w:r w:rsidRPr="00FC4B45">
        <w:rPr>
          <w:sz w:val="20"/>
          <w:szCs w:val="20"/>
        </w:rPr>
        <w:t>, Chouinard P</w:t>
      </w:r>
      <w:r w:rsidR="00F47F12" w:rsidRPr="00FC4B45">
        <w:rPr>
          <w:sz w:val="20"/>
          <w:szCs w:val="20"/>
        </w:rPr>
        <w:t>.</w:t>
      </w:r>
      <w:r w:rsidRPr="00FC4B45">
        <w:rPr>
          <w:sz w:val="20"/>
          <w:szCs w:val="20"/>
        </w:rPr>
        <w:t>Y</w:t>
      </w:r>
      <w:r w:rsidR="00F47F12" w:rsidRPr="00FC4B45">
        <w:rPr>
          <w:sz w:val="20"/>
          <w:szCs w:val="20"/>
        </w:rPr>
        <w:t>.</w:t>
      </w:r>
      <w:r w:rsidRPr="00FC4B45">
        <w:rPr>
          <w:sz w:val="20"/>
          <w:szCs w:val="20"/>
        </w:rPr>
        <w:t>, Hassanat F</w:t>
      </w:r>
      <w:r w:rsidR="00F47F12" w:rsidRPr="00FC4B45">
        <w:rPr>
          <w:sz w:val="20"/>
          <w:szCs w:val="20"/>
        </w:rPr>
        <w:t>.</w:t>
      </w:r>
      <w:r w:rsidRPr="00FC4B45">
        <w:rPr>
          <w:sz w:val="20"/>
          <w:szCs w:val="20"/>
        </w:rPr>
        <w:t>, Eugene M</w:t>
      </w:r>
      <w:r w:rsidR="00F47F12" w:rsidRPr="00FC4B45">
        <w:rPr>
          <w:sz w:val="20"/>
          <w:szCs w:val="20"/>
        </w:rPr>
        <w:t>.</w:t>
      </w:r>
      <w:r w:rsidRPr="00FC4B45">
        <w:rPr>
          <w:sz w:val="20"/>
          <w:szCs w:val="20"/>
        </w:rPr>
        <w:t>, Petit H</w:t>
      </w:r>
      <w:r w:rsidR="00F47F12" w:rsidRPr="00FC4B45">
        <w:rPr>
          <w:sz w:val="20"/>
          <w:szCs w:val="20"/>
        </w:rPr>
        <w:t>.</w:t>
      </w:r>
      <w:r w:rsidRPr="00FC4B45">
        <w:rPr>
          <w:sz w:val="20"/>
          <w:szCs w:val="20"/>
        </w:rPr>
        <w:t>V</w:t>
      </w:r>
      <w:r w:rsidR="00F47F12" w:rsidRPr="00FC4B45">
        <w:rPr>
          <w:sz w:val="20"/>
          <w:szCs w:val="20"/>
        </w:rPr>
        <w:t>.</w:t>
      </w:r>
      <w:r w:rsidRPr="00FC4B45">
        <w:rPr>
          <w:sz w:val="20"/>
          <w:szCs w:val="20"/>
        </w:rPr>
        <w:t>, Côrtes C</w:t>
      </w:r>
      <w:r w:rsidR="00F47F12" w:rsidRPr="00FC4B45">
        <w:rPr>
          <w:sz w:val="20"/>
          <w:szCs w:val="20"/>
        </w:rPr>
        <w:t>.</w:t>
      </w:r>
      <w:r w:rsidRPr="00FC4B45">
        <w:rPr>
          <w:sz w:val="20"/>
          <w:szCs w:val="20"/>
        </w:rPr>
        <w:t xml:space="preserve"> (2012)</w:t>
      </w:r>
      <w:r w:rsidR="00F47F12" w:rsidRPr="00FC4B45">
        <w:rPr>
          <w:sz w:val="20"/>
          <w:szCs w:val="20"/>
        </w:rPr>
        <w:t>.</w:t>
      </w:r>
      <w:r w:rsidRPr="00FC4B45">
        <w:rPr>
          <w:sz w:val="20"/>
          <w:szCs w:val="20"/>
        </w:rPr>
        <w:t xml:space="preserve"> Supplementation of increasing amounts of linseed oil to dairy cows fed total mixed rations: Effects on digestion, ruminal fermentation characteristics, protozoal populations, and milk fatty acid composition. Journal of Dairy Science</w:t>
      </w:r>
      <w:r w:rsidR="00811916" w:rsidRPr="00FC4B45">
        <w:rPr>
          <w:sz w:val="20"/>
          <w:szCs w:val="20"/>
        </w:rPr>
        <w:t>.</w:t>
      </w:r>
      <w:r w:rsidRPr="00FC4B45">
        <w:rPr>
          <w:sz w:val="20"/>
          <w:szCs w:val="20"/>
        </w:rPr>
        <w:t xml:space="preserve"> 95(8): 4578-4590.</w:t>
      </w:r>
      <w:bookmarkEnd w:id="21"/>
    </w:p>
    <w:p w14:paraId="20D8ADEC" w14:textId="02230FAD" w:rsidR="00E156FC" w:rsidRPr="00FC4B45" w:rsidRDefault="00E156FC" w:rsidP="00E156FC">
      <w:pPr>
        <w:pStyle w:val="EndNoteBibliography"/>
        <w:spacing w:before="60" w:after="0" w:line="240" w:lineRule="auto"/>
        <w:jc w:val="both"/>
        <w:rPr>
          <w:sz w:val="20"/>
          <w:szCs w:val="20"/>
        </w:rPr>
      </w:pPr>
      <w:bookmarkStart w:id="22" w:name="_ENREF_5"/>
      <w:r w:rsidRPr="00FC4B45">
        <w:rPr>
          <w:sz w:val="20"/>
          <w:szCs w:val="20"/>
        </w:rPr>
        <w:t>Castagnino P</w:t>
      </w:r>
      <w:r w:rsidR="00F47F12" w:rsidRPr="00FC4B45">
        <w:rPr>
          <w:sz w:val="20"/>
          <w:szCs w:val="20"/>
        </w:rPr>
        <w:t>.</w:t>
      </w:r>
      <w:r w:rsidRPr="00FC4B45">
        <w:rPr>
          <w:sz w:val="20"/>
          <w:szCs w:val="20"/>
        </w:rPr>
        <w:t>S</w:t>
      </w:r>
      <w:r w:rsidR="00F47F12" w:rsidRPr="00FC4B45">
        <w:rPr>
          <w:sz w:val="20"/>
          <w:szCs w:val="20"/>
        </w:rPr>
        <w:t>.</w:t>
      </w:r>
      <w:r w:rsidRPr="00FC4B45">
        <w:rPr>
          <w:sz w:val="20"/>
          <w:szCs w:val="20"/>
        </w:rPr>
        <w:t>, Messana J</w:t>
      </w:r>
      <w:r w:rsidR="00F47F12" w:rsidRPr="00FC4B45">
        <w:rPr>
          <w:sz w:val="20"/>
          <w:szCs w:val="20"/>
        </w:rPr>
        <w:t>.</w:t>
      </w:r>
      <w:r w:rsidRPr="00FC4B45">
        <w:rPr>
          <w:sz w:val="20"/>
          <w:szCs w:val="20"/>
        </w:rPr>
        <w:t>D</w:t>
      </w:r>
      <w:r w:rsidR="00F47F12" w:rsidRPr="00FC4B45">
        <w:rPr>
          <w:sz w:val="20"/>
          <w:szCs w:val="20"/>
        </w:rPr>
        <w:t>.</w:t>
      </w:r>
      <w:r w:rsidRPr="00FC4B45">
        <w:rPr>
          <w:sz w:val="20"/>
          <w:szCs w:val="20"/>
        </w:rPr>
        <w:t>, Fiorentini G</w:t>
      </w:r>
      <w:r w:rsidR="00F47F12" w:rsidRPr="00FC4B45">
        <w:rPr>
          <w:sz w:val="20"/>
          <w:szCs w:val="20"/>
        </w:rPr>
        <w:t>.</w:t>
      </w:r>
      <w:r w:rsidRPr="00FC4B45">
        <w:rPr>
          <w:sz w:val="20"/>
          <w:szCs w:val="20"/>
        </w:rPr>
        <w:t>, de Jesus R</w:t>
      </w:r>
      <w:r w:rsidR="00F47F12" w:rsidRPr="00FC4B45">
        <w:rPr>
          <w:sz w:val="20"/>
          <w:szCs w:val="20"/>
        </w:rPr>
        <w:t>.</w:t>
      </w:r>
      <w:r w:rsidRPr="00FC4B45">
        <w:rPr>
          <w:sz w:val="20"/>
          <w:szCs w:val="20"/>
        </w:rPr>
        <w:t>B</w:t>
      </w:r>
      <w:r w:rsidR="00F47F12" w:rsidRPr="00FC4B45">
        <w:rPr>
          <w:sz w:val="20"/>
          <w:szCs w:val="20"/>
        </w:rPr>
        <w:t>.</w:t>
      </w:r>
      <w:r w:rsidRPr="00FC4B45">
        <w:rPr>
          <w:sz w:val="20"/>
          <w:szCs w:val="20"/>
        </w:rPr>
        <w:t>, San V</w:t>
      </w:r>
      <w:r w:rsidR="00F47F12" w:rsidRPr="00FC4B45">
        <w:rPr>
          <w:sz w:val="20"/>
          <w:szCs w:val="20"/>
        </w:rPr>
        <w:t>.</w:t>
      </w:r>
      <w:r w:rsidRPr="00FC4B45">
        <w:rPr>
          <w:sz w:val="20"/>
          <w:szCs w:val="20"/>
        </w:rPr>
        <w:t>E</w:t>
      </w:r>
      <w:r w:rsidR="00F47F12" w:rsidRPr="00FC4B45">
        <w:rPr>
          <w:sz w:val="20"/>
          <w:szCs w:val="20"/>
        </w:rPr>
        <w:t>.</w:t>
      </w:r>
      <w:r w:rsidRPr="00FC4B45">
        <w:rPr>
          <w:sz w:val="20"/>
          <w:szCs w:val="20"/>
        </w:rPr>
        <w:t>, Carvalho I</w:t>
      </w:r>
      <w:r w:rsidR="00F47F12" w:rsidRPr="00FC4B45">
        <w:rPr>
          <w:sz w:val="20"/>
          <w:szCs w:val="20"/>
        </w:rPr>
        <w:t>.</w:t>
      </w:r>
      <w:r w:rsidRPr="00FC4B45">
        <w:rPr>
          <w:sz w:val="20"/>
          <w:szCs w:val="20"/>
        </w:rPr>
        <w:t>P</w:t>
      </w:r>
      <w:r w:rsidR="00F47F12" w:rsidRPr="00FC4B45">
        <w:rPr>
          <w:sz w:val="20"/>
          <w:szCs w:val="20"/>
        </w:rPr>
        <w:t>.</w:t>
      </w:r>
      <w:r w:rsidRPr="00FC4B45">
        <w:rPr>
          <w:sz w:val="20"/>
          <w:szCs w:val="20"/>
        </w:rPr>
        <w:t>C</w:t>
      </w:r>
      <w:r w:rsidR="00F47F12" w:rsidRPr="00FC4B45">
        <w:rPr>
          <w:sz w:val="20"/>
          <w:szCs w:val="20"/>
        </w:rPr>
        <w:t>.</w:t>
      </w:r>
      <w:r w:rsidRPr="00FC4B45">
        <w:rPr>
          <w:sz w:val="20"/>
          <w:szCs w:val="20"/>
        </w:rPr>
        <w:t>, Berchielli T</w:t>
      </w:r>
      <w:r w:rsidR="00F47F12" w:rsidRPr="00FC4B45">
        <w:rPr>
          <w:sz w:val="20"/>
          <w:szCs w:val="20"/>
        </w:rPr>
        <w:t>.</w:t>
      </w:r>
      <w:r w:rsidRPr="00FC4B45">
        <w:rPr>
          <w:sz w:val="20"/>
          <w:szCs w:val="20"/>
        </w:rPr>
        <w:t>T</w:t>
      </w:r>
      <w:r w:rsidR="00F47F12" w:rsidRPr="00FC4B45">
        <w:rPr>
          <w:sz w:val="20"/>
          <w:szCs w:val="20"/>
        </w:rPr>
        <w:t>.</w:t>
      </w:r>
      <w:r w:rsidRPr="00FC4B45">
        <w:rPr>
          <w:sz w:val="20"/>
          <w:szCs w:val="20"/>
        </w:rPr>
        <w:t xml:space="preserve"> (2015)</w:t>
      </w:r>
      <w:r w:rsidR="00F47F12" w:rsidRPr="00FC4B45">
        <w:rPr>
          <w:sz w:val="20"/>
          <w:szCs w:val="20"/>
        </w:rPr>
        <w:t>.</w:t>
      </w:r>
      <w:r w:rsidRPr="00FC4B45">
        <w:rPr>
          <w:sz w:val="20"/>
          <w:szCs w:val="20"/>
        </w:rPr>
        <w:t xml:space="preserve"> Glycerol combined with oils did not limit biohydrogenation of unsaturated fatty acid but reduced methane production </w:t>
      </w:r>
      <w:r w:rsidRPr="00FC4B45">
        <w:rPr>
          <w:i/>
          <w:sz w:val="20"/>
          <w:szCs w:val="20"/>
        </w:rPr>
        <w:t>in vitro</w:t>
      </w:r>
      <w:r w:rsidRPr="00FC4B45">
        <w:rPr>
          <w:sz w:val="20"/>
          <w:szCs w:val="20"/>
        </w:rPr>
        <w:t>. Animal Feed Science and Technology</w:t>
      </w:r>
      <w:r w:rsidR="00811916" w:rsidRPr="00FC4B45">
        <w:rPr>
          <w:sz w:val="20"/>
          <w:szCs w:val="20"/>
        </w:rPr>
        <w:t>.</w:t>
      </w:r>
      <w:r w:rsidRPr="00FC4B45">
        <w:rPr>
          <w:sz w:val="20"/>
          <w:szCs w:val="20"/>
        </w:rPr>
        <w:t xml:space="preserve"> 201: 14-24.</w:t>
      </w:r>
      <w:bookmarkEnd w:id="22"/>
    </w:p>
    <w:p w14:paraId="339505A3" w14:textId="347F75EC" w:rsidR="00E156FC" w:rsidRPr="00FC4B45" w:rsidRDefault="00E156FC" w:rsidP="00E156FC">
      <w:pPr>
        <w:pStyle w:val="EndNoteBibliography"/>
        <w:spacing w:before="60" w:after="0" w:line="240" w:lineRule="auto"/>
        <w:jc w:val="both"/>
        <w:rPr>
          <w:sz w:val="20"/>
          <w:szCs w:val="20"/>
        </w:rPr>
      </w:pPr>
      <w:bookmarkStart w:id="23" w:name="_ENREF_6"/>
      <w:r w:rsidRPr="00FC4B45">
        <w:rPr>
          <w:sz w:val="20"/>
          <w:szCs w:val="20"/>
        </w:rPr>
        <w:t>Climate Change Central</w:t>
      </w:r>
      <w:r w:rsidR="00D24B98" w:rsidRPr="00FC4B45">
        <w:rPr>
          <w:sz w:val="20"/>
          <w:szCs w:val="20"/>
        </w:rPr>
        <w:t>.</w:t>
      </w:r>
      <w:r w:rsidRPr="00FC4B45">
        <w:rPr>
          <w:sz w:val="20"/>
          <w:szCs w:val="20"/>
        </w:rPr>
        <w:t xml:space="preserve"> (2010)</w:t>
      </w:r>
      <w:r w:rsidR="00D24B98" w:rsidRPr="00FC4B45">
        <w:rPr>
          <w:sz w:val="20"/>
          <w:szCs w:val="20"/>
        </w:rPr>
        <w:t>.</w:t>
      </w:r>
      <w:r w:rsidRPr="00FC4B45">
        <w:rPr>
          <w:sz w:val="20"/>
          <w:szCs w:val="20"/>
        </w:rPr>
        <w:t xml:space="preserve"> Emission reductions from dairy cattle protocol: specified gas emitters regulation.  Alberta, Canada. Accessed Mar. 17, 2015 (http://environment.gov.ab.ca/info/library/8255.pdf).</w:t>
      </w:r>
      <w:bookmarkEnd w:id="23"/>
    </w:p>
    <w:p w14:paraId="7705FBF4" w14:textId="534140EC" w:rsidR="00E156FC" w:rsidRPr="00FC4B45" w:rsidRDefault="00E156FC" w:rsidP="00E156FC">
      <w:pPr>
        <w:pStyle w:val="EndNoteBibliography"/>
        <w:spacing w:before="60" w:after="0" w:line="240" w:lineRule="auto"/>
        <w:jc w:val="both"/>
        <w:rPr>
          <w:sz w:val="20"/>
          <w:szCs w:val="20"/>
        </w:rPr>
      </w:pPr>
      <w:bookmarkStart w:id="24" w:name="_ENREF_7"/>
      <w:r w:rsidRPr="00FC4B45">
        <w:rPr>
          <w:sz w:val="20"/>
          <w:szCs w:val="20"/>
        </w:rPr>
        <w:t>Czerkawski J</w:t>
      </w:r>
      <w:r w:rsidR="00F47F12" w:rsidRPr="00FC4B45">
        <w:rPr>
          <w:sz w:val="20"/>
          <w:szCs w:val="20"/>
        </w:rPr>
        <w:t>.</w:t>
      </w:r>
      <w:r w:rsidRPr="00FC4B45">
        <w:rPr>
          <w:sz w:val="20"/>
          <w:szCs w:val="20"/>
        </w:rPr>
        <w:t>W</w:t>
      </w:r>
      <w:r w:rsidR="00F47F12" w:rsidRPr="00FC4B45">
        <w:rPr>
          <w:sz w:val="20"/>
          <w:szCs w:val="20"/>
        </w:rPr>
        <w:t>.</w:t>
      </w:r>
      <w:r w:rsidRPr="00FC4B45">
        <w:rPr>
          <w:sz w:val="20"/>
          <w:szCs w:val="20"/>
        </w:rPr>
        <w:t xml:space="preserve"> (1972)</w:t>
      </w:r>
      <w:r w:rsidR="00F47F12" w:rsidRPr="00FC4B45">
        <w:rPr>
          <w:sz w:val="20"/>
          <w:szCs w:val="20"/>
        </w:rPr>
        <w:t>.</w:t>
      </w:r>
      <w:r w:rsidRPr="00FC4B45">
        <w:rPr>
          <w:sz w:val="20"/>
          <w:szCs w:val="20"/>
        </w:rPr>
        <w:t xml:space="preserve"> Fate of metabolic hydrogen in the rumen. Proceedings of the Nutrition Society</w:t>
      </w:r>
      <w:r w:rsidR="00811916" w:rsidRPr="00FC4B45">
        <w:rPr>
          <w:sz w:val="20"/>
          <w:szCs w:val="20"/>
        </w:rPr>
        <w:t>.</w:t>
      </w:r>
      <w:r w:rsidRPr="00FC4B45">
        <w:rPr>
          <w:sz w:val="20"/>
          <w:szCs w:val="20"/>
        </w:rPr>
        <w:t xml:space="preserve"> 31(2): 141-146.</w:t>
      </w:r>
      <w:bookmarkEnd w:id="24"/>
    </w:p>
    <w:p w14:paraId="3B9FB341" w14:textId="30C49DDB" w:rsidR="00E156FC" w:rsidRPr="00FC4B45" w:rsidRDefault="00E156FC" w:rsidP="00E156FC">
      <w:pPr>
        <w:pStyle w:val="EndNoteBibliography"/>
        <w:spacing w:before="60" w:after="0" w:line="240" w:lineRule="auto"/>
        <w:jc w:val="both"/>
        <w:rPr>
          <w:sz w:val="20"/>
          <w:szCs w:val="20"/>
        </w:rPr>
      </w:pPr>
      <w:bookmarkStart w:id="25" w:name="_ENREF_8"/>
      <w:r w:rsidRPr="00FC4B45">
        <w:rPr>
          <w:sz w:val="20"/>
          <w:szCs w:val="20"/>
        </w:rPr>
        <w:t>Czerkawski J</w:t>
      </w:r>
      <w:r w:rsidR="00F47F12" w:rsidRPr="00FC4B45">
        <w:rPr>
          <w:sz w:val="20"/>
          <w:szCs w:val="20"/>
        </w:rPr>
        <w:t>.</w:t>
      </w:r>
      <w:r w:rsidRPr="00FC4B45">
        <w:rPr>
          <w:sz w:val="20"/>
          <w:szCs w:val="20"/>
        </w:rPr>
        <w:t>W</w:t>
      </w:r>
      <w:r w:rsidR="00F47F12" w:rsidRPr="00FC4B45">
        <w:rPr>
          <w:sz w:val="20"/>
          <w:szCs w:val="20"/>
        </w:rPr>
        <w:t>.</w:t>
      </w:r>
      <w:r w:rsidRPr="00FC4B45">
        <w:rPr>
          <w:sz w:val="20"/>
          <w:szCs w:val="20"/>
        </w:rPr>
        <w:t xml:space="preserve"> (1986)</w:t>
      </w:r>
      <w:r w:rsidR="00F47F12" w:rsidRPr="00FC4B45">
        <w:rPr>
          <w:sz w:val="20"/>
          <w:szCs w:val="20"/>
        </w:rPr>
        <w:t>.</w:t>
      </w:r>
      <w:r w:rsidRPr="00FC4B45">
        <w:rPr>
          <w:sz w:val="20"/>
          <w:szCs w:val="20"/>
        </w:rPr>
        <w:t xml:space="preserve"> An introduction to rumen studies. Pergamon Press. Oxford, UK.</w:t>
      </w:r>
      <w:bookmarkEnd w:id="25"/>
    </w:p>
    <w:p w14:paraId="78ACA8F0" w14:textId="2AE65CE6" w:rsidR="00E156FC" w:rsidRPr="00FC4B45" w:rsidRDefault="00E156FC" w:rsidP="00E156FC">
      <w:pPr>
        <w:pStyle w:val="EndNoteBibliography"/>
        <w:spacing w:before="60" w:after="0" w:line="240" w:lineRule="auto"/>
        <w:jc w:val="both"/>
        <w:rPr>
          <w:sz w:val="20"/>
          <w:szCs w:val="20"/>
        </w:rPr>
      </w:pPr>
      <w:bookmarkStart w:id="26" w:name="_ENREF_9"/>
      <w:r w:rsidRPr="00FC4B45">
        <w:rPr>
          <w:sz w:val="20"/>
          <w:szCs w:val="20"/>
        </w:rPr>
        <w:t>Fievez V</w:t>
      </w:r>
      <w:r w:rsidR="00F47F12" w:rsidRPr="00FC4B45">
        <w:rPr>
          <w:sz w:val="20"/>
          <w:szCs w:val="20"/>
        </w:rPr>
        <w:t>.</w:t>
      </w:r>
      <w:r w:rsidRPr="00FC4B45">
        <w:rPr>
          <w:sz w:val="20"/>
          <w:szCs w:val="20"/>
        </w:rPr>
        <w:t>, Babayemi O</w:t>
      </w:r>
      <w:r w:rsidR="00F47F12" w:rsidRPr="00FC4B45">
        <w:rPr>
          <w:sz w:val="20"/>
          <w:szCs w:val="20"/>
        </w:rPr>
        <w:t>.</w:t>
      </w:r>
      <w:r w:rsidRPr="00FC4B45">
        <w:rPr>
          <w:sz w:val="20"/>
          <w:szCs w:val="20"/>
        </w:rPr>
        <w:t>J</w:t>
      </w:r>
      <w:r w:rsidR="00F47F12" w:rsidRPr="00FC4B45">
        <w:rPr>
          <w:sz w:val="20"/>
          <w:szCs w:val="20"/>
        </w:rPr>
        <w:t>.</w:t>
      </w:r>
      <w:r w:rsidRPr="00FC4B45">
        <w:rPr>
          <w:sz w:val="20"/>
          <w:szCs w:val="20"/>
        </w:rPr>
        <w:t>, Demeyer D</w:t>
      </w:r>
      <w:r w:rsidR="00F47F12" w:rsidRPr="00FC4B45">
        <w:rPr>
          <w:sz w:val="20"/>
          <w:szCs w:val="20"/>
        </w:rPr>
        <w:t>.</w:t>
      </w:r>
      <w:r w:rsidRPr="00FC4B45">
        <w:rPr>
          <w:sz w:val="20"/>
          <w:szCs w:val="20"/>
        </w:rPr>
        <w:t xml:space="preserve"> (2005)</w:t>
      </w:r>
      <w:r w:rsidR="00F47F12" w:rsidRPr="00FC4B45">
        <w:rPr>
          <w:sz w:val="20"/>
          <w:szCs w:val="20"/>
        </w:rPr>
        <w:t>.</w:t>
      </w:r>
      <w:r w:rsidRPr="00FC4B45">
        <w:rPr>
          <w:sz w:val="20"/>
          <w:szCs w:val="20"/>
        </w:rPr>
        <w:t xml:space="preserve"> Estimation of direct and indirect gas production in syringes: A tool to estimate short chain fatty acid production that requires minimal laboratory facilities. Animal Feed Science and Technology</w:t>
      </w:r>
      <w:r w:rsidR="00811916" w:rsidRPr="00FC4B45">
        <w:rPr>
          <w:sz w:val="20"/>
          <w:szCs w:val="20"/>
        </w:rPr>
        <w:t>.</w:t>
      </w:r>
      <w:r w:rsidRPr="00FC4B45">
        <w:rPr>
          <w:sz w:val="20"/>
          <w:szCs w:val="20"/>
        </w:rPr>
        <w:t xml:space="preserve"> 123-124: 197-210.</w:t>
      </w:r>
      <w:bookmarkEnd w:id="26"/>
    </w:p>
    <w:p w14:paraId="12DA07B6" w14:textId="5C8B381D" w:rsidR="00E156FC" w:rsidRPr="00FC4B45" w:rsidRDefault="00E156FC" w:rsidP="00E156FC">
      <w:pPr>
        <w:pStyle w:val="EndNoteBibliography"/>
        <w:spacing w:before="60" w:after="0" w:line="240" w:lineRule="auto"/>
        <w:jc w:val="both"/>
        <w:rPr>
          <w:sz w:val="20"/>
          <w:szCs w:val="20"/>
        </w:rPr>
      </w:pPr>
      <w:bookmarkStart w:id="27" w:name="_ENREF_10"/>
      <w:r w:rsidRPr="00FC4B45">
        <w:rPr>
          <w:sz w:val="20"/>
          <w:szCs w:val="20"/>
        </w:rPr>
        <w:t>Fievez V</w:t>
      </w:r>
      <w:r w:rsidR="00F47F12" w:rsidRPr="00FC4B45">
        <w:rPr>
          <w:sz w:val="20"/>
          <w:szCs w:val="20"/>
        </w:rPr>
        <w:t>.</w:t>
      </w:r>
      <w:r w:rsidRPr="00FC4B45">
        <w:rPr>
          <w:sz w:val="20"/>
          <w:szCs w:val="20"/>
        </w:rPr>
        <w:t>, Dohme F</w:t>
      </w:r>
      <w:r w:rsidR="00F47F12" w:rsidRPr="00FC4B45">
        <w:rPr>
          <w:sz w:val="20"/>
          <w:szCs w:val="20"/>
        </w:rPr>
        <w:t>.</w:t>
      </w:r>
      <w:r w:rsidRPr="00FC4B45">
        <w:rPr>
          <w:sz w:val="20"/>
          <w:szCs w:val="20"/>
        </w:rPr>
        <w:t>, Danneels M</w:t>
      </w:r>
      <w:r w:rsidR="00F47F12" w:rsidRPr="00FC4B45">
        <w:rPr>
          <w:sz w:val="20"/>
          <w:szCs w:val="20"/>
        </w:rPr>
        <w:t>.</w:t>
      </w:r>
      <w:r w:rsidRPr="00FC4B45">
        <w:rPr>
          <w:sz w:val="20"/>
          <w:szCs w:val="20"/>
        </w:rPr>
        <w:t>, Raes K</w:t>
      </w:r>
      <w:r w:rsidR="00F47F12" w:rsidRPr="00FC4B45">
        <w:rPr>
          <w:sz w:val="20"/>
          <w:szCs w:val="20"/>
        </w:rPr>
        <w:t>.</w:t>
      </w:r>
      <w:r w:rsidRPr="00FC4B45">
        <w:rPr>
          <w:sz w:val="20"/>
          <w:szCs w:val="20"/>
        </w:rPr>
        <w:t>, Demeyer D</w:t>
      </w:r>
      <w:r w:rsidR="00F47F12" w:rsidRPr="00FC4B45">
        <w:rPr>
          <w:sz w:val="20"/>
          <w:szCs w:val="20"/>
        </w:rPr>
        <w:t>.</w:t>
      </w:r>
      <w:r w:rsidRPr="00FC4B45">
        <w:rPr>
          <w:sz w:val="20"/>
          <w:szCs w:val="20"/>
        </w:rPr>
        <w:t xml:space="preserve"> (2003)</w:t>
      </w:r>
      <w:r w:rsidR="00F47F12" w:rsidRPr="00FC4B45">
        <w:rPr>
          <w:sz w:val="20"/>
          <w:szCs w:val="20"/>
        </w:rPr>
        <w:t xml:space="preserve">. </w:t>
      </w:r>
      <w:r w:rsidRPr="00FC4B45">
        <w:rPr>
          <w:sz w:val="20"/>
          <w:szCs w:val="20"/>
        </w:rPr>
        <w:t xml:space="preserve">Fish oils as potent rumen methane inhibitors and associated effects on rumen fermentation </w:t>
      </w:r>
      <w:r w:rsidRPr="00FC4B45">
        <w:rPr>
          <w:i/>
          <w:sz w:val="20"/>
          <w:szCs w:val="20"/>
        </w:rPr>
        <w:t>in vitro</w:t>
      </w:r>
      <w:r w:rsidRPr="00FC4B45">
        <w:rPr>
          <w:sz w:val="20"/>
          <w:szCs w:val="20"/>
        </w:rPr>
        <w:t xml:space="preserve"> and </w:t>
      </w:r>
      <w:r w:rsidRPr="00FC4B45">
        <w:rPr>
          <w:i/>
          <w:sz w:val="20"/>
          <w:szCs w:val="20"/>
        </w:rPr>
        <w:t>in vivo</w:t>
      </w:r>
      <w:r w:rsidRPr="00FC4B45">
        <w:rPr>
          <w:sz w:val="20"/>
          <w:szCs w:val="20"/>
        </w:rPr>
        <w:t>. Animal Feed Science and Technology</w:t>
      </w:r>
      <w:r w:rsidR="00811916" w:rsidRPr="00FC4B45">
        <w:rPr>
          <w:sz w:val="20"/>
          <w:szCs w:val="20"/>
        </w:rPr>
        <w:t>.</w:t>
      </w:r>
      <w:r w:rsidRPr="00FC4B45">
        <w:rPr>
          <w:sz w:val="20"/>
          <w:szCs w:val="20"/>
        </w:rPr>
        <w:t xml:space="preserve"> 104(1-4): 41-58.</w:t>
      </w:r>
      <w:bookmarkEnd w:id="27"/>
    </w:p>
    <w:p w14:paraId="516682CB" w14:textId="6521F62C" w:rsidR="00E156FC" w:rsidRPr="00FC4B45" w:rsidRDefault="00E156FC" w:rsidP="00E156FC">
      <w:pPr>
        <w:pStyle w:val="EndNoteBibliography"/>
        <w:spacing w:before="60" w:after="0" w:line="240" w:lineRule="auto"/>
        <w:jc w:val="both"/>
        <w:rPr>
          <w:sz w:val="20"/>
          <w:szCs w:val="20"/>
        </w:rPr>
      </w:pPr>
      <w:bookmarkStart w:id="28" w:name="_ENREF_11"/>
      <w:r w:rsidRPr="00FC4B45">
        <w:rPr>
          <w:sz w:val="20"/>
          <w:szCs w:val="20"/>
        </w:rPr>
        <w:t>Galyen</w:t>
      </w:r>
      <w:r w:rsidR="00F47F12" w:rsidRPr="00FC4B45">
        <w:rPr>
          <w:sz w:val="20"/>
          <w:szCs w:val="20"/>
        </w:rPr>
        <w:t xml:space="preserve"> </w:t>
      </w:r>
      <w:r w:rsidRPr="00FC4B45">
        <w:rPr>
          <w:sz w:val="20"/>
          <w:szCs w:val="20"/>
        </w:rPr>
        <w:t>M</w:t>
      </w:r>
      <w:r w:rsidR="00F47F12" w:rsidRPr="00FC4B45">
        <w:rPr>
          <w:sz w:val="20"/>
          <w:szCs w:val="20"/>
        </w:rPr>
        <w:t>.</w:t>
      </w:r>
      <w:r w:rsidRPr="00FC4B45">
        <w:rPr>
          <w:sz w:val="20"/>
          <w:szCs w:val="20"/>
        </w:rPr>
        <w:t xml:space="preserve"> (2010)</w:t>
      </w:r>
      <w:r w:rsidR="00F47F12" w:rsidRPr="00FC4B45">
        <w:rPr>
          <w:sz w:val="20"/>
          <w:szCs w:val="20"/>
        </w:rPr>
        <w:t xml:space="preserve">. </w:t>
      </w:r>
      <w:r w:rsidRPr="00FC4B45">
        <w:rPr>
          <w:sz w:val="20"/>
          <w:szCs w:val="20"/>
        </w:rPr>
        <w:t>Laboratory procedures in animal nutrition research. Texas Tech University, Lubbock, TX, USA.</w:t>
      </w:r>
      <w:bookmarkEnd w:id="28"/>
    </w:p>
    <w:p w14:paraId="64B48FFE" w14:textId="7EE46E46" w:rsidR="00E156FC" w:rsidRPr="00FC4B45" w:rsidRDefault="00E156FC" w:rsidP="00E156FC">
      <w:pPr>
        <w:pStyle w:val="EndNoteBibliography"/>
        <w:spacing w:before="60" w:after="0" w:line="240" w:lineRule="auto"/>
        <w:jc w:val="both"/>
        <w:rPr>
          <w:sz w:val="20"/>
          <w:szCs w:val="20"/>
        </w:rPr>
      </w:pPr>
      <w:bookmarkStart w:id="29" w:name="_ENREF_12"/>
      <w:r w:rsidRPr="00FC4B45">
        <w:rPr>
          <w:sz w:val="20"/>
          <w:szCs w:val="20"/>
        </w:rPr>
        <w:t>Harfoot C</w:t>
      </w:r>
      <w:r w:rsidR="00F47F12" w:rsidRPr="00FC4B45">
        <w:rPr>
          <w:sz w:val="20"/>
          <w:szCs w:val="20"/>
        </w:rPr>
        <w:t>.</w:t>
      </w:r>
      <w:r w:rsidRPr="00FC4B45">
        <w:rPr>
          <w:sz w:val="20"/>
          <w:szCs w:val="20"/>
        </w:rPr>
        <w:t>G</w:t>
      </w:r>
      <w:r w:rsidR="00F47F12" w:rsidRPr="00FC4B45">
        <w:rPr>
          <w:sz w:val="20"/>
          <w:szCs w:val="20"/>
        </w:rPr>
        <w:t>.</w:t>
      </w:r>
      <w:r w:rsidRPr="00FC4B45">
        <w:rPr>
          <w:sz w:val="20"/>
          <w:szCs w:val="20"/>
        </w:rPr>
        <w:t>, Hazlewood G</w:t>
      </w:r>
      <w:r w:rsidR="00F47F12" w:rsidRPr="00FC4B45">
        <w:rPr>
          <w:sz w:val="20"/>
          <w:szCs w:val="20"/>
        </w:rPr>
        <w:t>.</w:t>
      </w:r>
      <w:r w:rsidRPr="00FC4B45">
        <w:rPr>
          <w:sz w:val="20"/>
          <w:szCs w:val="20"/>
        </w:rPr>
        <w:t>P</w:t>
      </w:r>
      <w:r w:rsidR="00F47F12" w:rsidRPr="00FC4B45">
        <w:rPr>
          <w:sz w:val="20"/>
          <w:szCs w:val="20"/>
        </w:rPr>
        <w:t>.</w:t>
      </w:r>
      <w:r w:rsidRPr="00FC4B45">
        <w:rPr>
          <w:sz w:val="20"/>
          <w:szCs w:val="20"/>
        </w:rPr>
        <w:t xml:space="preserve"> (1997)</w:t>
      </w:r>
      <w:r w:rsidR="00F47F12" w:rsidRPr="00FC4B45">
        <w:rPr>
          <w:sz w:val="20"/>
          <w:szCs w:val="20"/>
        </w:rPr>
        <w:t>.</w:t>
      </w:r>
      <w:r w:rsidRPr="00FC4B45">
        <w:rPr>
          <w:sz w:val="20"/>
          <w:szCs w:val="20"/>
        </w:rPr>
        <w:t xml:space="preserve"> Lipid metabolism in the rumen. In Hobson PN, Stewart CS (eds.). The rumen microbial ecosystem, (pp. 382-426). : Chapman &amp; Hall, London, UK.</w:t>
      </w:r>
      <w:bookmarkEnd w:id="29"/>
    </w:p>
    <w:p w14:paraId="7E04F2D7" w14:textId="1164F521" w:rsidR="00E156FC" w:rsidRPr="00FC4B45" w:rsidRDefault="00E156FC" w:rsidP="00E156FC">
      <w:pPr>
        <w:pStyle w:val="EndNoteBibliography"/>
        <w:spacing w:before="60" w:after="0" w:line="240" w:lineRule="auto"/>
        <w:jc w:val="both"/>
        <w:rPr>
          <w:sz w:val="20"/>
          <w:szCs w:val="20"/>
        </w:rPr>
      </w:pPr>
      <w:bookmarkStart w:id="30" w:name="_ENREF_13"/>
      <w:r w:rsidRPr="00FC4B45">
        <w:rPr>
          <w:sz w:val="20"/>
          <w:szCs w:val="20"/>
        </w:rPr>
        <w:t>Hristov A</w:t>
      </w:r>
      <w:r w:rsidR="00F47F12" w:rsidRPr="00FC4B45">
        <w:rPr>
          <w:sz w:val="20"/>
          <w:szCs w:val="20"/>
        </w:rPr>
        <w:t>.</w:t>
      </w:r>
      <w:r w:rsidRPr="00FC4B45">
        <w:rPr>
          <w:sz w:val="20"/>
          <w:szCs w:val="20"/>
        </w:rPr>
        <w:t>N</w:t>
      </w:r>
      <w:r w:rsidR="00F47F12" w:rsidRPr="00FC4B45">
        <w:rPr>
          <w:sz w:val="20"/>
          <w:szCs w:val="20"/>
        </w:rPr>
        <w:t>.</w:t>
      </w:r>
      <w:r w:rsidRPr="00FC4B45">
        <w:rPr>
          <w:sz w:val="20"/>
          <w:szCs w:val="20"/>
        </w:rPr>
        <w:t>, Oh J</w:t>
      </w:r>
      <w:r w:rsidR="00F47F12" w:rsidRPr="00FC4B45">
        <w:rPr>
          <w:sz w:val="20"/>
          <w:szCs w:val="20"/>
        </w:rPr>
        <w:t>.</w:t>
      </w:r>
      <w:r w:rsidRPr="00FC4B45">
        <w:rPr>
          <w:sz w:val="20"/>
          <w:szCs w:val="20"/>
        </w:rPr>
        <w:t>, Firkins J</w:t>
      </w:r>
      <w:r w:rsidR="00F47F12" w:rsidRPr="00FC4B45">
        <w:rPr>
          <w:sz w:val="20"/>
          <w:szCs w:val="20"/>
        </w:rPr>
        <w:t>.</w:t>
      </w:r>
      <w:r w:rsidRPr="00FC4B45">
        <w:rPr>
          <w:sz w:val="20"/>
          <w:szCs w:val="20"/>
        </w:rPr>
        <w:t>L</w:t>
      </w:r>
      <w:r w:rsidR="00F47F12" w:rsidRPr="00FC4B45">
        <w:rPr>
          <w:sz w:val="20"/>
          <w:szCs w:val="20"/>
        </w:rPr>
        <w:t>.</w:t>
      </w:r>
      <w:r w:rsidRPr="00FC4B45">
        <w:rPr>
          <w:sz w:val="20"/>
          <w:szCs w:val="20"/>
        </w:rPr>
        <w:t>, Dijkstra J</w:t>
      </w:r>
      <w:r w:rsidR="00F47F12" w:rsidRPr="00FC4B45">
        <w:rPr>
          <w:sz w:val="20"/>
          <w:szCs w:val="20"/>
        </w:rPr>
        <w:t>.</w:t>
      </w:r>
      <w:r w:rsidRPr="00FC4B45">
        <w:rPr>
          <w:sz w:val="20"/>
          <w:szCs w:val="20"/>
        </w:rPr>
        <w:t>, Kebreab E</w:t>
      </w:r>
      <w:r w:rsidR="00F47F12" w:rsidRPr="00FC4B45">
        <w:rPr>
          <w:sz w:val="20"/>
          <w:szCs w:val="20"/>
        </w:rPr>
        <w:t>.</w:t>
      </w:r>
      <w:r w:rsidRPr="00FC4B45">
        <w:rPr>
          <w:sz w:val="20"/>
          <w:szCs w:val="20"/>
        </w:rPr>
        <w:t>, Waghorn G</w:t>
      </w:r>
      <w:r w:rsidR="00F47F12" w:rsidRPr="00FC4B45">
        <w:rPr>
          <w:sz w:val="20"/>
          <w:szCs w:val="20"/>
        </w:rPr>
        <w:t>.</w:t>
      </w:r>
      <w:r w:rsidRPr="00FC4B45">
        <w:rPr>
          <w:sz w:val="20"/>
          <w:szCs w:val="20"/>
        </w:rPr>
        <w:t>, Makkar H</w:t>
      </w:r>
      <w:r w:rsidR="00F47F12" w:rsidRPr="00FC4B45">
        <w:rPr>
          <w:sz w:val="20"/>
          <w:szCs w:val="20"/>
        </w:rPr>
        <w:t>.</w:t>
      </w:r>
      <w:r w:rsidRPr="00FC4B45">
        <w:rPr>
          <w:sz w:val="20"/>
          <w:szCs w:val="20"/>
        </w:rPr>
        <w:t>P</w:t>
      </w:r>
      <w:r w:rsidR="00F47F12" w:rsidRPr="00FC4B45">
        <w:rPr>
          <w:sz w:val="20"/>
          <w:szCs w:val="20"/>
        </w:rPr>
        <w:t>.</w:t>
      </w:r>
      <w:r w:rsidRPr="00FC4B45">
        <w:rPr>
          <w:sz w:val="20"/>
          <w:szCs w:val="20"/>
        </w:rPr>
        <w:t>, Adesogan A</w:t>
      </w:r>
      <w:r w:rsidR="00F47F12" w:rsidRPr="00FC4B45">
        <w:rPr>
          <w:sz w:val="20"/>
          <w:szCs w:val="20"/>
        </w:rPr>
        <w:t>.</w:t>
      </w:r>
      <w:r w:rsidRPr="00FC4B45">
        <w:rPr>
          <w:sz w:val="20"/>
          <w:szCs w:val="20"/>
        </w:rPr>
        <w:t>T</w:t>
      </w:r>
      <w:r w:rsidR="00F47F12" w:rsidRPr="00FC4B45">
        <w:rPr>
          <w:sz w:val="20"/>
          <w:szCs w:val="20"/>
        </w:rPr>
        <w:t>.</w:t>
      </w:r>
      <w:r w:rsidRPr="00FC4B45">
        <w:rPr>
          <w:sz w:val="20"/>
          <w:szCs w:val="20"/>
        </w:rPr>
        <w:t>, Yang W</w:t>
      </w:r>
      <w:r w:rsidR="00F47F12" w:rsidRPr="00FC4B45">
        <w:rPr>
          <w:sz w:val="20"/>
          <w:szCs w:val="20"/>
        </w:rPr>
        <w:t>.</w:t>
      </w:r>
      <w:r w:rsidRPr="00FC4B45">
        <w:rPr>
          <w:sz w:val="20"/>
          <w:szCs w:val="20"/>
        </w:rPr>
        <w:t>, Lee C</w:t>
      </w:r>
      <w:r w:rsidR="00F47F12" w:rsidRPr="00FC4B45">
        <w:rPr>
          <w:sz w:val="20"/>
          <w:szCs w:val="20"/>
        </w:rPr>
        <w:t>.</w:t>
      </w:r>
      <w:r w:rsidRPr="00FC4B45">
        <w:rPr>
          <w:sz w:val="20"/>
          <w:szCs w:val="20"/>
        </w:rPr>
        <w:t>, Gerber P</w:t>
      </w:r>
      <w:r w:rsidR="00F47F12" w:rsidRPr="00FC4B45">
        <w:rPr>
          <w:sz w:val="20"/>
          <w:szCs w:val="20"/>
        </w:rPr>
        <w:t>.</w:t>
      </w:r>
      <w:r w:rsidRPr="00FC4B45">
        <w:rPr>
          <w:sz w:val="20"/>
          <w:szCs w:val="20"/>
        </w:rPr>
        <w:t>J</w:t>
      </w:r>
      <w:r w:rsidR="00F47F12" w:rsidRPr="00FC4B45">
        <w:rPr>
          <w:sz w:val="20"/>
          <w:szCs w:val="20"/>
        </w:rPr>
        <w:t>.</w:t>
      </w:r>
      <w:r w:rsidRPr="00FC4B45">
        <w:rPr>
          <w:sz w:val="20"/>
          <w:szCs w:val="20"/>
        </w:rPr>
        <w:t>, Henderson B</w:t>
      </w:r>
      <w:r w:rsidR="00F47F12" w:rsidRPr="00FC4B45">
        <w:rPr>
          <w:sz w:val="20"/>
          <w:szCs w:val="20"/>
        </w:rPr>
        <w:t>.</w:t>
      </w:r>
      <w:r w:rsidRPr="00FC4B45">
        <w:rPr>
          <w:sz w:val="20"/>
          <w:szCs w:val="20"/>
        </w:rPr>
        <w:t>, Tricarico J</w:t>
      </w:r>
      <w:r w:rsidR="00F47F12" w:rsidRPr="00FC4B45">
        <w:rPr>
          <w:sz w:val="20"/>
          <w:szCs w:val="20"/>
        </w:rPr>
        <w:t>.</w:t>
      </w:r>
      <w:r w:rsidRPr="00FC4B45">
        <w:rPr>
          <w:sz w:val="20"/>
          <w:szCs w:val="20"/>
        </w:rPr>
        <w:t>M</w:t>
      </w:r>
      <w:r w:rsidR="00F47F12" w:rsidRPr="00FC4B45">
        <w:rPr>
          <w:sz w:val="20"/>
          <w:szCs w:val="20"/>
        </w:rPr>
        <w:t>.</w:t>
      </w:r>
      <w:r w:rsidRPr="00FC4B45">
        <w:rPr>
          <w:sz w:val="20"/>
          <w:szCs w:val="20"/>
        </w:rPr>
        <w:t xml:space="preserve"> (2013)</w:t>
      </w:r>
      <w:r w:rsidR="00F47F12" w:rsidRPr="00FC4B45">
        <w:rPr>
          <w:sz w:val="20"/>
          <w:szCs w:val="20"/>
        </w:rPr>
        <w:t>.</w:t>
      </w:r>
      <w:r w:rsidRPr="00FC4B45">
        <w:rPr>
          <w:sz w:val="20"/>
          <w:szCs w:val="20"/>
        </w:rPr>
        <w:t xml:space="preserve"> Special topics--Mitigation of methane and nitrous oxide emissions from animal operations: I. A review of enteric methane mitigation options. Journal of Animal Science</w:t>
      </w:r>
      <w:r w:rsidR="00811916" w:rsidRPr="00FC4B45">
        <w:rPr>
          <w:sz w:val="20"/>
          <w:szCs w:val="20"/>
        </w:rPr>
        <w:t>.</w:t>
      </w:r>
      <w:r w:rsidRPr="00FC4B45">
        <w:rPr>
          <w:sz w:val="20"/>
          <w:szCs w:val="20"/>
        </w:rPr>
        <w:t xml:space="preserve"> 91(11): 5045-5069.</w:t>
      </w:r>
      <w:bookmarkEnd w:id="30"/>
    </w:p>
    <w:p w14:paraId="1EE50DB4" w14:textId="0341CDD9" w:rsidR="00E156FC" w:rsidRPr="00FC4B45" w:rsidRDefault="00E156FC" w:rsidP="00E156FC">
      <w:pPr>
        <w:pStyle w:val="EndNoteBibliography"/>
        <w:spacing w:before="60" w:after="0" w:line="240" w:lineRule="auto"/>
        <w:jc w:val="both"/>
        <w:rPr>
          <w:sz w:val="20"/>
          <w:szCs w:val="20"/>
        </w:rPr>
      </w:pPr>
      <w:bookmarkStart w:id="31" w:name="_ENREF_14"/>
      <w:r w:rsidRPr="00FC4B45">
        <w:rPr>
          <w:sz w:val="20"/>
          <w:szCs w:val="20"/>
        </w:rPr>
        <w:t>Huws S</w:t>
      </w:r>
      <w:r w:rsidR="009D68CA" w:rsidRPr="00FC4B45">
        <w:rPr>
          <w:sz w:val="20"/>
          <w:szCs w:val="20"/>
        </w:rPr>
        <w:t>.</w:t>
      </w:r>
      <w:r w:rsidRPr="00FC4B45">
        <w:rPr>
          <w:sz w:val="20"/>
          <w:szCs w:val="20"/>
        </w:rPr>
        <w:t>A</w:t>
      </w:r>
      <w:r w:rsidR="009D68CA" w:rsidRPr="00FC4B45">
        <w:rPr>
          <w:sz w:val="20"/>
          <w:szCs w:val="20"/>
        </w:rPr>
        <w:t>.</w:t>
      </w:r>
      <w:r w:rsidRPr="00FC4B45">
        <w:rPr>
          <w:sz w:val="20"/>
          <w:szCs w:val="20"/>
        </w:rPr>
        <w:t>, Lee M</w:t>
      </w:r>
      <w:r w:rsidR="009D68CA" w:rsidRPr="00FC4B45">
        <w:rPr>
          <w:sz w:val="20"/>
          <w:szCs w:val="20"/>
        </w:rPr>
        <w:t>.</w:t>
      </w:r>
      <w:r w:rsidRPr="00FC4B45">
        <w:rPr>
          <w:sz w:val="20"/>
          <w:szCs w:val="20"/>
        </w:rPr>
        <w:t>R</w:t>
      </w:r>
      <w:r w:rsidR="009D68CA" w:rsidRPr="00FC4B45">
        <w:rPr>
          <w:sz w:val="20"/>
          <w:szCs w:val="20"/>
        </w:rPr>
        <w:t>.</w:t>
      </w:r>
      <w:r w:rsidRPr="00FC4B45">
        <w:rPr>
          <w:sz w:val="20"/>
          <w:szCs w:val="20"/>
        </w:rPr>
        <w:t>, Muetzel S</w:t>
      </w:r>
      <w:r w:rsidR="009D68CA" w:rsidRPr="00FC4B45">
        <w:rPr>
          <w:sz w:val="20"/>
          <w:szCs w:val="20"/>
        </w:rPr>
        <w:t>.</w:t>
      </w:r>
      <w:r w:rsidRPr="00FC4B45">
        <w:rPr>
          <w:sz w:val="20"/>
          <w:szCs w:val="20"/>
        </w:rPr>
        <w:t>M</w:t>
      </w:r>
      <w:r w:rsidR="009D68CA" w:rsidRPr="00FC4B45">
        <w:rPr>
          <w:sz w:val="20"/>
          <w:szCs w:val="20"/>
        </w:rPr>
        <w:t>.</w:t>
      </w:r>
      <w:r w:rsidRPr="00FC4B45">
        <w:rPr>
          <w:sz w:val="20"/>
          <w:szCs w:val="20"/>
        </w:rPr>
        <w:t>, Scott M</w:t>
      </w:r>
      <w:r w:rsidR="009D68CA" w:rsidRPr="00FC4B45">
        <w:rPr>
          <w:sz w:val="20"/>
          <w:szCs w:val="20"/>
        </w:rPr>
        <w:t>.</w:t>
      </w:r>
      <w:r w:rsidRPr="00FC4B45">
        <w:rPr>
          <w:sz w:val="20"/>
          <w:szCs w:val="20"/>
        </w:rPr>
        <w:t>B</w:t>
      </w:r>
      <w:r w:rsidR="009D68CA" w:rsidRPr="00FC4B45">
        <w:rPr>
          <w:sz w:val="20"/>
          <w:szCs w:val="20"/>
        </w:rPr>
        <w:t>.</w:t>
      </w:r>
      <w:r w:rsidRPr="00FC4B45">
        <w:rPr>
          <w:sz w:val="20"/>
          <w:szCs w:val="20"/>
        </w:rPr>
        <w:t>, Wallace R</w:t>
      </w:r>
      <w:r w:rsidR="009D68CA" w:rsidRPr="00FC4B45">
        <w:rPr>
          <w:sz w:val="20"/>
          <w:szCs w:val="20"/>
        </w:rPr>
        <w:t>.</w:t>
      </w:r>
      <w:r w:rsidRPr="00FC4B45">
        <w:rPr>
          <w:sz w:val="20"/>
          <w:szCs w:val="20"/>
        </w:rPr>
        <w:t>J</w:t>
      </w:r>
      <w:r w:rsidR="009D68CA" w:rsidRPr="00FC4B45">
        <w:rPr>
          <w:sz w:val="20"/>
          <w:szCs w:val="20"/>
        </w:rPr>
        <w:t>.</w:t>
      </w:r>
      <w:r w:rsidRPr="00FC4B45">
        <w:rPr>
          <w:sz w:val="20"/>
          <w:szCs w:val="20"/>
        </w:rPr>
        <w:t>, Scollan N</w:t>
      </w:r>
      <w:r w:rsidR="009D68CA" w:rsidRPr="00FC4B45">
        <w:rPr>
          <w:sz w:val="20"/>
          <w:szCs w:val="20"/>
        </w:rPr>
        <w:t>.</w:t>
      </w:r>
      <w:r w:rsidRPr="00FC4B45">
        <w:rPr>
          <w:sz w:val="20"/>
          <w:szCs w:val="20"/>
        </w:rPr>
        <w:t>D</w:t>
      </w:r>
      <w:r w:rsidR="009D68CA" w:rsidRPr="00FC4B45">
        <w:rPr>
          <w:sz w:val="20"/>
          <w:szCs w:val="20"/>
        </w:rPr>
        <w:t>.</w:t>
      </w:r>
      <w:r w:rsidRPr="00FC4B45">
        <w:rPr>
          <w:sz w:val="20"/>
          <w:szCs w:val="20"/>
        </w:rPr>
        <w:t xml:space="preserve"> (2010)</w:t>
      </w:r>
      <w:r w:rsidR="009D68CA" w:rsidRPr="00FC4B45">
        <w:rPr>
          <w:sz w:val="20"/>
          <w:szCs w:val="20"/>
        </w:rPr>
        <w:t>.</w:t>
      </w:r>
      <w:r w:rsidRPr="00FC4B45">
        <w:rPr>
          <w:sz w:val="20"/>
          <w:szCs w:val="20"/>
        </w:rPr>
        <w:t xml:space="preserve"> Forage type and fish oil cause shifts in rumen bacterial diversity. FEMS Microbiology Ecology</w:t>
      </w:r>
      <w:r w:rsidR="00811916" w:rsidRPr="00FC4B45">
        <w:rPr>
          <w:sz w:val="20"/>
          <w:szCs w:val="20"/>
        </w:rPr>
        <w:t>.</w:t>
      </w:r>
      <w:r w:rsidRPr="00FC4B45">
        <w:rPr>
          <w:sz w:val="20"/>
          <w:szCs w:val="20"/>
        </w:rPr>
        <w:t xml:space="preserve"> 73(2): 396-407.</w:t>
      </w:r>
      <w:bookmarkEnd w:id="31"/>
    </w:p>
    <w:p w14:paraId="544B85EF" w14:textId="30532EA4" w:rsidR="00E156FC" w:rsidRPr="00FC4B45" w:rsidRDefault="00E156FC" w:rsidP="00E156FC">
      <w:pPr>
        <w:pStyle w:val="EndNoteBibliography"/>
        <w:spacing w:before="60" w:after="0" w:line="240" w:lineRule="auto"/>
        <w:jc w:val="both"/>
        <w:rPr>
          <w:sz w:val="20"/>
          <w:szCs w:val="20"/>
        </w:rPr>
      </w:pPr>
      <w:bookmarkStart w:id="32" w:name="_ENREF_15"/>
      <w:r w:rsidRPr="00FC4B45">
        <w:rPr>
          <w:sz w:val="20"/>
          <w:szCs w:val="20"/>
        </w:rPr>
        <w:t>Knapp J</w:t>
      </w:r>
      <w:r w:rsidR="009D68CA" w:rsidRPr="00FC4B45">
        <w:rPr>
          <w:sz w:val="20"/>
          <w:szCs w:val="20"/>
        </w:rPr>
        <w:t>.</w:t>
      </w:r>
      <w:r w:rsidRPr="00FC4B45">
        <w:rPr>
          <w:sz w:val="20"/>
          <w:szCs w:val="20"/>
        </w:rPr>
        <w:t>R</w:t>
      </w:r>
      <w:r w:rsidR="009D68CA" w:rsidRPr="00FC4B45">
        <w:rPr>
          <w:sz w:val="20"/>
          <w:szCs w:val="20"/>
        </w:rPr>
        <w:t>.</w:t>
      </w:r>
      <w:r w:rsidRPr="00FC4B45">
        <w:rPr>
          <w:sz w:val="20"/>
          <w:szCs w:val="20"/>
        </w:rPr>
        <w:t>, Laur G</w:t>
      </w:r>
      <w:r w:rsidR="009D68CA" w:rsidRPr="00FC4B45">
        <w:rPr>
          <w:sz w:val="20"/>
          <w:szCs w:val="20"/>
        </w:rPr>
        <w:t>.</w:t>
      </w:r>
      <w:r w:rsidRPr="00FC4B45">
        <w:rPr>
          <w:sz w:val="20"/>
          <w:szCs w:val="20"/>
        </w:rPr>
        <w:t>L</w:t>
      </w:r>
      <w:r w:rsidR="009D68CA" w:rsidRPr="00FC4B45">
        <w:rPr>
          <w:sz w:val="20"/>
          <w:szCs w:val="20"/>
        </w:rPr>
        <w:t>.</w:t>
      </w:r>
      <w:r w:rsidRPr="00FC4B45">
        <w:rPr>
          <w:sz w:val="20"/>
          <w:szCs w:val="20"/>
        </w:rPr>
        <w:t>, Vadas P</w:t>
      </w:r>
      <w:r w:rsidR="009D68CA" w:rsidRPr="00FC4B45">
        <w:rPr>
          <w:sz w:val="20"/>
          <w:szCs w:val="20"/>
        </w:rPr>
        <w:t>.</w:t>
      </w:r>
      <w:r w:rsidRPr="00FC4B45">
        <w:rPr>
          <w:sz w:val="20"/>
          <w:szCs w:val="20"/>
        </w:rPr>
        <w:t>A</w:t>
      </w:r>
      <w:r w:rsidR="009D68CA" w:rsidRPr="00FC4B45">
        <w:rPr>
          <w:sz w:val="20"/>
          <w:szCs w:val="20"/>
        </w:rPr>
        <w:t>.</w:t>
      </w:r>
      <w:r w:rsidRPr="00FC4B45">
        <w:rPr>
          <w:sz w:val="20"/>
          <w:szCs w:val="20"/>
        </w:rPr>
        <w:t>, Weiss W</w:t>
      </w:r>
      <w:r w:rsidR="009D68CA" w:rsidRPr="00FC4B45">
        <w:rPr>
          <w:sz w:val="20"/>
          <w:szCs w:val="20"/>
        </w:rPr>
        <w:t>.</w:t>
      </w:r>
      <w:r w:rsidRPr="00FC4B45">
        <w:rPr>
          <w:sz w:val="20"/>
          <w:szCs w:val="20"/>
        </w:rPr>
        <w:t>P</w:t>
      </w:r>
      <w:r w:rsidR="009D68CA" w:rsidRPr="00FC4B45">
        <w:rPr>
          <w:sz w:val="20"/>
          <w:szCs w:val="20"/>
        </w:rPr>
        <w:t>.</w:t>
      </w:r>
      <w:r w:rsidRPr="00FC4B45">
        <w:rPr>
          <w:sz w:val="20"/>
          <w:szCs w:val="20"/>
        </w:rPr>
        <w:t>, Tricarico J</w:t>
      </w:r>
      <w:r w:rsidR="009D68CA" w:rsidRPr="00FC4B45">
        <w:rPr>
          <w:sz w:val="20"/>
          <w:szCs w:val="20"/>
        </w:rPr>
        <w:t>.</w:t>
      </w:r>
      <w:r w:rsidRPr="00FC4B45">
        <w:rPr>
          <w:sz w:val="20"/>
          <w:szCs w:val="20"/>
        </w:rPr>
        <w:t>M</w:t>
      </w:r>
      <w:r w:rsidR="009D68CA" w:rsidRPr="00FC4B45">
        <w:rPr>
          <w:sz w:val="20"/>
          <w:szCs w:val="20"/>
        </w:rPr>
        <w:t>.</w:t>
      </w:r>
      <w:r w:rsidRPr="00FC4B45">
        <w:rPr>
          <w:sz w:val="20"/>
          <w:szCs w:val="20"/>
        </w:rPr>
        <w:t xml:space="preserve"> (2014)</w:t>
      </w:r>
      <w:r w:rsidR="009D68CA" w:rsidRPr="00FC4B45">
        <w:rPr>
          <w:sz w:val="20"/>
          <w:szCs w:val="20"/>
        </w:rPr>
        <w:t>.</w:t>
      </w:r>
      <w:r w:rsidRPr="00FC4B45">
        <w:rPr>
          <w:sz w:val="20"/>
          <w:szCs w:val="20"/>
        </w:rPr>
        <w:t xml:space="preserve"> Invited review: Enteric methane in dairy cattle production: Quantifying the opportunities and impact of reducing emissions. Journal of Dairy Science</w:t>
      </w:r>
      <w:r w:rsidR="00811916" w:rsidRPr="00FC4B45">
        <w:rPr>
          <w:sz w:val="20"/>
          <w:szCs w:val="20"/>
        </w:rPr>
        <w:t>.</w:t>
      </w:r>
      <w:r w:rsidRPr="00FC4B45">
        <w:rPr>
          <w:sz w:val="20"/>
          <w:szCs w:val="20"/>
        </w:rPr>
        <w:t xml:space="preserve"> 97(6): 3231-3261.</w:t>
      </w:r>
      <w:bookmarkEnd w:id="32"/>
    </w:p>
    <w:p w14:paraId="705E0FF7" w14:textId="2F4E7265" w:rsidR="00E156FC" w:rsidRPr="00FC4B45" w:rsidRDefault="00E156FC" w:rsidP="00E156FC">
      <w:pPr>
        <w:pStyle w:val="EndNoteBibliography"/>
        <w:spacing w:before="60" w:after="0" w:line="240" w:lineRule="auto"/>
        <w:jc w:val="both"/>
        <w:rPr>
          <w:sz w:val="20"/>
          <w:szCs w:val="20"/>
        </w:rPr>
      </w:pPr>
      <w:bookmarkStart w:id="33" w:name="_ENREF_16"/>
      <w:r w:rsidRPr="00FC4B45">
        <w:rPr>
          <w:sz w:val="20"/>
          <w:szCs w:val="20"/>
        </w:rPr>
        <w:t>Koba K</w:t>
      </w:r>
      <w:r w:rsidR="009D68CA" w:rsidRPr="00FC4B45">
        <w:rPr>
          <w:sz w:val="20"/>
          <w:szCs w:val="20"/>
        </w:rPr>
        <w:t>.</w:t>
      </w:r>
      <w:r w:rsidRPr="00FC4B45">
        <w:rPr>
          <w:sz w:val="20"/>
          <w:szCs w:val="20"/>
        </w:rPr>
        <w:t>, Yanagita T</w:t>
      </w:r>
      <w:r w:rsidR="009D68CA" w:rsidRPr="00FC4B45">
        <w:rPr>
          <w:sz w:val="20"/>
          <w:szCs w:val="20"/>
        </w:rPr>
        <w:t>.</w:t>
      </w:r>
      <w:r w:rsidRPr="00FC4B45">
        <w:rPr>
          <w:sz w:val="20"/>
          <w:szCs w:val="20"/>
        </w:rPr>
        <w:t xml:space="preserve"> (2014) Health benefits of conjugated linoleic acid (CLA). Obesity Research &amp; Clinical Practice. 8(6): e525-e532.</w:t>
      </w:r>
      <w:bookmarkEnd w:id="33"/>
    </w:p>
    <w:p w14:paraId="63977761" w14:textId="2430F97F" w:rsidR="00E156FC" w:rsidRPr="00FC4B45" w:rsidRDefault="00E156FC" w:rsidP="00E156FC">
      <w:pPr>
        <w:pStyle w:val="EndNoteBibliography"/>
        <w:spacing w:before="60" w:after="0" w:line="240" w:lineRule="auto"/>
        <w:jc w:val="both"/>
        <w:rPr>
          <w:sz w:val="20"/>
          <w:szCs w:val="20"/>
        </w:rPr>
      </w:pPr>
      <w:bookmarkStart w:id="34" w:name="_ENREF_17"/>
      <w:r w:rsidRPr="00FC4B45">
        <w:rPr>
          <w:sz w:val="20"/>
          <w:szCs w:val="20"/>
        </w:rPr>
        <w:t>Maia M</w:t>
      </w:r>
      <w:r w:rsidR="009D68CA" w:rsidRPr="00FC4B45">
        <w:rPr>
          <w:sz w:val="20"/>
          <w:szCs w:val="20"/>
        </w:rPr>
        <w:t>.</w:t>
      </w:r>
      <w:r w:rsidRPr="00FC4B45">
        <w:rPr>
          <w:sz w:val="20"/>
          <w:szCs w:val="20"/>
        </w:rPr>
        <w:t>R</w:t>
      </w:r>
      <w:r w:rsidR="009D68CA" w:rsidRPr="00FC4B45">
        <w:rPr>
          <w:sz w:val="20"/>
          <w:szCs w:val="20"/>
        </w:rPr>
        <w:t>.</w:t>
      </w:r>
      <w:r w:rsidRPr="00FC4B45">
        <w:rPr>
          <w:sz w:val="20"/>
          <w:szCs w:val="20"/>
        </w:rPr>
        <w:t>, Chaudhary L</w:t>
      </w:r>
      <w:r w:rsidR="009D68CA" w:rsidRPr="00FC4B45">
        <w:rPr>
          <w:sz w:val="20"/>
          <w:szCs w:val="20"/>
        </w:rPr>
        <w:t>.</w:t>
      </w:r>
      <w:r w:rsidRPr="00FC4B45">
        <w:rPr>
          <w:sz w:val="20"/>
          <w:szCs w:val="20"/>
        </w:rPr>
        <w:t>C</w:t>
      </w:r>
      <w:r w:rsidR="009D68CA" w:rsidRPr="00FC4B45">
        <w:rPr>
          <w:sz w:val="20"/>
          <w:szCs w:val="20"/>
        </w:rPr>
        <w:t>.</w:t>
      </w:r>
      <w:r w:rsidRPr="00FC4B45">
        <w:rPr>
          <w:sz w:val="20"/>
          <w:szCs w:val="20"/>
        </w:rPr>
        <w:t>, Figueres L</w:t>
      </w:r>
      <w:r w:rsidR="009D68CA" w:rsidRPr="00FC4B45">
        <w:rPr>
          <w:sz w:val="20"/>
          <w:szCs w:val="20"/>
        </w:rPr>
        <w:t>.</w:t>
      </w:r>
      <w:r w:rsidRPr="00FC4B45">
        <w:rPr>
          <w:sz w:val="20"/>
          <w:szCs w:val="20"/>
        </w:rPr>
        <w:t>, Wallace R</w:t>
      </w:r>
      <w:r w:rsidR="009D68CA" w:rsidRPr="00FC4B45">
        <w:rPr>
          <w:sz w:val="20"/>
          <w:szCs w:val="20"/>
        </w:rPr>
        <w:t>.</w:t>
      </w:r>
      <w:r w:rsidRPr="00FC4B45">
        <w:rPr>
          <w:sz w:val="20"/>
          <w:szCs w:val="20"/>
        </w:rPr>
        <w:t>J</w:t>
      </w:r>
      <w:r w:rsidR="009D68CA" w:rsidRPr="00FC4B45">
        <w:rPr>
          <w:sz w:val="20"/>
          <w:szCs w:val="20"/>
        </w:rPr>
        <w:t>.</w:t>
      </w:r>
      <w:r w:rsidRPr="00FC4B45">
        <w:rPr>
          <w:sz w:val="20"/>
          <w:szCs w:val="20"/>
        </w:rPr>
        <w:t xml:space="preserve"> (2007)</w:t>
      </w:r>
      <w:r w:rsidR="009D68CA" w:rsidRPr="00FC4B45">
        <w:rPr>
          <w:sz w:val="20"/>
          <w:szCs w:val="20"/>
        </w:rPr>
        <w:t>.</w:t>
      </w:r>
      <w:r w:rsidRPr="00FC4B45">
        <w:rPr>
          <w:sz w:val="20"/>
          <w:szCs w:val="20"/>
        </w:rPr>
        <w:t xml:space="preserve"> Metabolism of polyunsaturated fatty acids and their toxicity to the microflora of the rumen. Antonie Van Leeuwenhoek</w:t>
      </w:r>
      <w:r w:rsidR="00811916" w:rsidRPr="00FC4B45">
        <w:rPr>
          <w:sz w:val="20"/>
          <w:szCs w:val="20"/>
        </w:rPr>
        <w:t>.</w:t>
      </w:r>
      <w:r w:rsidRPr="00FC4B45">
        <w:rPr>
          <w:sz w:val="20"/>
          <w:szCs w:val="20"/>
        </w:rPr>
        <w:t xml:space="preserve"> 91(4): 303-314.</w:t>
      </w:r>
      <w:bookmarkEnd w:id="34"/>
    </w:p>
    <w:p w14:paraId="44CBBFCC" w14:textId="2D9146E0" w:rsidR="00E156FC" w:rsidRPr="00FC4B45" w:rsidRDefault="00E156FC" w:rsidP="00E156FC">
      <w:pPr>
        <w:pStyle w:val="EndNoteBibliography"/>
        <w:spacing w:before="60" w:after="0" w:line="240" w:lineRule="auto"/>
        <w:jc w:val="both"/>
        <w:rPr>
          <w:sz w:val="20"/>
          <w:szCs w:val="20"/>
        </w:rPr>
      </w:pPr>
      <w:bookmarkStart w:id="35" w:name="_ENREF_18"/>
      <w:r w:rsidRPr="00FC4B45">
        <w:rPr>
          <w:sz w:val="20"/>
          <w:szCs w:val="20"/>
        </w:rPr>
        <w:t>Menke K</w:t>
      </w:r>
      <w:r w:rsidR="009D68CA" w:rsidRPr="00FC4B45">
        <w:rPr>
          <w:sz w:val="20"/>
          <w:szCs w:val="20"/>
        </w:rPr>
        <w:t>.</w:t>
      </w:r>
      <w:r w:rsidRPr="00FC4B45">
        <w:rPr>
          <w:sz w:val="20"/>
          <w:szCs w:val="20"/>
        </w:rPr>
        <w:t>H</w:t>
      </w:r>
      <w:r w:rsidR="009D68CA" w:rsidRPr="00FC4B45">
        <w:rPr>
          <w:sz w:val="20"/>
          <w:szCs w:val="20"/>
        </w:rPr>
        <w:t>.</w:t>
      </w:r>
      <w:r w:rsidRPr="00FC4B45">
        <w:rPr>
          <w:sz w:val="20"/>
          <w:szCs w:val="20"/>
        </w:rPr>
        <w:t>, Raab L</w:t>
      </w:r>
      <w:r w:rsidR="009D68CA" w:rsidRPr="00FC4B45">
        <w:rPr>
          <w:sz w:val="20"/>
          <w:szCs w:val="20"/>
        </w:rPr>
        <w:t>.</w:t>
      </w:r>
      <w:r w:rsidRPr="00FC4B45">
        <w:rPr>
          <w:sz w:val="20"/>
          <w:szCs w:val="20"/>
        </w:rPr>
        <w:t>, Salewski A</w:t>
      </w:r>
      <w:r w:rsidR="009D68CA" w:rsidRPr="00FC4B45">
        <w:rPr>
          <w:sz w:val="20"/>
          <w:szCs w:val="20"/>
        </w:rPr>
        <w:t>.</w:t>
      </w:r>
      <w:r w:rsidRPr="00FC4B45">
        <w:rPr>
          <w:sz w:val="20"/>
          <w:szCs w:val="20"/>
        </w:rPr>
        <w:t>, Steingass H</w:t>
      </w:r>
      <w:r w:rsidR="009D68CA" w:rsidRPr="00FC4B45">
        <w:rPr>
          <w:sz w:val="20"/>
          <w:szCs w:val="20"/>
        </w:rPr>
        <w:t>.</w:t>
      </w:r>
      <w:r w:rsidRPr="00FC4B45">
        <w:rPr>
          <w:sz w:val="20"/>
          <w:szCs w:val="20"/>
        </w:rPr>
        <w:t>, Fritz D</w:t>
      </w:r>
      <w:r w:rsidR="009D68CA" w:rsidRPr="00FC4B45">
        <w:rPr>
          <w:sz w:val="20"/>
          <w:szCs w:val="20"/>
        </w:rPr>
        <w:t>.</w:t>
      </w:r>
      <w:r w:rsidRPr="00FC4B45">
        <w:rPr>
          <w:sz w:val="20"/>
          <w:szCs w:val="20"/>
        </w:rPr>
        <w:t>, Schneider W</w:t>
      </w:r>
      <w:r w:rsidR="009D68CA" w:rsidRPr="00FC4B45">
        <w:rPr>
          <w:sz w:val="20"/>
          <w:szCs w:val="20"/>
        </w:rPr>
        <w:t>.</w:t>
      </w:r>
      <w:r w:rsidRPr="00FC4B45">
        <w:rPr>
          <w:sz w:val="20"/>
          <w:szCs w:val="20"/>
        </w:rPr>
        <w:t xml:space="preserve"> (1979)</w:t>
      </w:r>
      <w:r w:rsidR="009D68CA" w:rsidRPr="00FC4B45">
        <w:rPr>
          <w:sz w:val="20"/>
          <w:szCs w:val="20"/>
        </w:rPr>
        <w:t>.</w:t>
      </w:r>
      <w:r w:rsidRPr="00FC4B45">
        <w:rPr>
          <w:sz w:val="20"/>
          <w:szCs w:val="20"/>
        </w:rPr>
        <w:t xml:space="preserve"> The estimation of digestibility and metabolizable energycontent of ruminant feedstuffs from the gas production when they are incubated with rumen liquor </w:t>
      </w:r>
      <w:r w:rsidRPr="00FC4B45">
        <w:rPr>
          <w:i/>
          <w:sz w:val="20"/>
          <w:szCs w:val="20"/>
        </w:rPr>
        <w:t>in vitro</w:t>
      </w:r>
      <w:r w:rsidRPr="00FC4B45">
        <w:rPr>
          <w:sz w:val="20"/>
          <w:szCs w:val="20"/>
        </w:rPr>
        <w:t>. The Journal of Agricultural Science</w:t>
      </w:r>
      <w:r w:rsidR="00811916" w:rsidRPr="00FC4B45">
        <w:rPr>
          <w:sz w:val="20"/>
          <w:szCs w:val="20"/>
        </w:rPr>
        <w:t>.</w:t>
      </w:r>
      <w:r w:rsidRPr="00FC4B45">
        <w:rPr>
          <w:sz w:val="20"/>
          <w:szCs w:val="20"/>
        </w:rPr>
        <w:t xml:space="preserve"> 93(01): 217-222.</w:t>
      </w:r>
      <w:bookmarkEnd w:id="35"/>
    </w:p>
    <w:p w14:paraId="5789BCBD" w14:textId="0DA61BBE" w:rsidR="00E156FC" w:rsidRPr="00FC4B45" w:rsidRDefault="00E156FC" w:rsidP="00E156FC">
      <w:pPr>
        <w:pStyle w:val="EndNoteBibliography"/>
        <w:spacing w:before="60" w:after="0" w:line="240" w:lineRule="auto"/>
        <w:jc w:val="both"/>
        <w:rPr>
          <w:sz w:val="20"/>
          <w:szCs w:val="20"/>
        </w:rPr>
      </w:pPr>
      <w:bookmarkStart w:id="36" w:name="_ENREF_19"/>
      <w:r w:rsidRPr="00FC4B45">
        <w:rPr>
          <w:sz w:val="20"/>
          <w:szCs w:val="20"/>
        </w:rPr>
        <w:t>Menke K</w:t>
      </w:r>
      <w:r w:rsidR="009D68CA" w:rsidRPr="00FC4B45">
        <w:rPr>
          <w:sz w:val="20"/>
          <w:szCs w:val="20"/>
        </w:rPr>
        <w:t>.</w:t>
      </w:r>
      <w:r w:rsidRPr="00FC4B45">
        <w:rPr>
          <w:sz w:val="20"/>
          <w:szCs w:val="20"/>
        </w:rPr>
        <w:t>H</w:t>
      </w:r>
      <w:r w:rsidR="009D68CA" w:rsidRPr="00FC4B45">
        <w:rPr>
          <w:sz w:val="20"/>
          <w:szCs w:val="20"/>
        </w:rPr>
        <w:t>.</w:t>
      </w:r>
      <w:r w:rsidRPr="00FC4B45">
        <w:rPr>
          <w:sz w:val="20"/>
          <w:szCs w:val="20"/>
        </w:rPr>
        <w:t>, Steingass H</w:t>
      </w:r>
      <w:r w:rsidR="009D68CA" w:rsidRPr="00FC4B45">
        <w:rPr>
          <w:sz w:val="20"/>
          <w:szCs w:val="20"/>
        </w:rPr>
        <w:t>.</w:t>
      </w:r>
      <w:r w:rsidRPr="00FC4B45">
        <w:rPr>
          <w:sz w:val="20"/>
          <w:szCs w:val="20"/>
        </w:rPr>
        <w:t xml:space="preserve"> (1988)</w:t>
      </w:r>
      <w:r w:rsidR="009D68CA" w:rsidRPr="00FC4B45">
        <w:rPr>
          <w:sz w:val="20"/>
          <w:szCs w:val="20"/>
        </w:rPr>
        <w:t>.</w:t>
      </w:r>
      <w:r w:rsidRPr="00FC4B45">
        <w:rPr>
          <w:sz w:val="20"/>
          <w:szCs w:val="20"/>
        </w:rPr>
        <w:t xml:space="preserve"> Estimation of the energetic feed value obtained from chemical analysis and gas production using rumen fluid. Animal Research and Development</w:t>
      </w:r>
      <w:r w:rsidR="00811916" w:rsidRPr="00FC4B45">
        <w:rPr>
          <w:sz w:val="20"/>
          <w:szCs w:val="20"/>
        </w:rPr>
        <w:t>.</w:t>
      </w:r>
      <w:r w:rsidRPr="00FC4B45">
        <w:rPr>
          <w:sz w:val="20"/>
          <w:szCs w:val="20"/>
        </w:rPr>
        <w:t xml:space="preserve"> 28: 7-55.</w:t>
      </w:r>
      <w:bookmarkEnd w:id="36"/>
    </w:p>
    <w:p w14:paraId="5A1A9160" w14:textId="55A17A78" w:rsidR="00E156FC" w:rsidRPr="00FC4B45" w:rsidRDefault="00E156FC" w:rsidP="00E156FC">
      <w:pPr>
        <w:pStyle w:val="EndNoteBibliography"/>
        <w:spacing w:before="60" w:after="0" w:line="240" w:lineRule="auto"/>
        <w:jc w:val="both"/>
        <w:rPr>
          <w:sz w:val="20"/>
          <w:szCs w:val="20"/>
        </w:rPr>
      </w:pPr>
      <w:bookmarkStart w:id="37" w:name="_ENREF_20"/>
      <w:r w:rsidRPr="00FC4B45">
        <w:rPr>
          <w:sz w:val="20"/>
          <w:szCs w:val="20"/>
        </w:rPr>
        <w:t>Newbold C</w:t>
      </w:r>
      <w:r w:rsidR="009D68CA" w:rsidRPr="00FC4B45">
        <w:rPr>
          <w:sz w:val="20"/>
          <w:szCs w:val="20"/>
        </w:rPr>
        <w:t>.</w:t>
      </w:r>
      <w:r w:rsidRPr="00FC4B45">
        <w:rPr>
          <w:sz w:val="20"/>
          <w:szCs w:val="20"/>
        </w:rPr>
        <w:t>J</w:t>
      </w:r>
      <w:r w:rsidR="009D68CA" w:rsidRPr="00FC4B45">
        <w:rPr>
          <w:sz w:val="20"/>
          <w:szCs w:val="20"/>
        </w:rPr>
        <w:t>.</w:t>
      </w:r>
      <w:r w:rsidRPr="00FC4B45">
        <w:rPr>
          <w:sz w:val="20"/>
          <w:szCs w:val="20"/>
        </w:rPr>
        <w:t>, Lassalas B</w:t>
      </w:r>
      <w:r w:rsidR="009D68CA" w:rsidRPr="00FC4B45">
        <w:rPr>
          <w:sz w:val="20"/>
          <w:szCs w:val="20"/>
        </w:rPr>
        <w:t>.</w:t>
      </w:r>
      <w:r w:rsidRPr="00FC4B45">
        <w:rPr>
          <w:sz w:val="20"/>
          <w:szCs w:val="20"/>
        </w:rPr>
        <w:t>, Jouany J</w:t>
      </w:r>
      <w:r w:rsidR="009D68CA" w:rsidRPr="00FC4B45">
        <w:rPr>
          <w:sz w:val="20"/>
          <w:szCs w:val="20"/>
        </w:rPr>
        <w:t>.</w:t>
      </w:r>
      <w:r w:rsidRPr="00FC4B45">
        <w:rPr>
          <w:sz w:val="20"/>
          <w:szCs w:val="20"/>
        </w:rPr>
        <w:t>P</w:t>
      </w:r>
      <w:r w:rsidR="009D68CA" w:rsidRPr="00FC4B45">
        <w:rPr>
          <w:sz w:val="20"/>
          <w:szCs w:val="20"/>
        </w:rPr>
        <w:t>.</w:t>
      </w:r>
      <w:r w:rsidRPr="00FC4B45">
        <w:rPr>
          <w:sz w:val="20"/>
          <w:szCs w:val="20"/>
        </w:rPr>
        <w:t xml:space="preserve"> (1995)</w:t>
      </w:r>
      <w:r w:rsidR="009D68CA" w:rsidRPr="00FC4B45">
        <w:rPr>
          <w:sz w:val="20"/>
          <w:szCs w:val="20"/>
        </w:rPr>
        <w:t xml:space="preserve">. </w:t>
      </w:r>
      <w:r w:rsidRPr="00FC4B45">
        <w:rPr>
          <w:sz w:val="20"/>
          <w:szCs w:val="20"/>
        </w:rPr>
        <w:t xml:space="preserve">The importance of methanogens associated with ciliate protozoa in ruminal methane production </w:t>
      </w:r>
      <w:r w:rsidRPr="00FC4B45">
        <w:rPr>
          <w:i/>
          <w:sz w:val="20"/>
          <w:szCs w:val="20"/>
        </w:rPr>
        <w:t>in vitro</w:t>
      </w:r>
      <w:r w:rsidRPr="00FC4B45">
        <w:rPr>
          <w:sz w:val="20"/>
          <w:szCs w:val="20"/>
        </w:rPr>
        <w:t>. Letters in Applied Microbiology</w:t>
      </w:r>
      <w:r w:rsidR="00811916" w:rsidRPr="00FC4B45">
        <w:rPr>
          <w:sz w:val="20"/>
          <w:szCs w:val="20"/>
        </w:rPr>
        <w:t>.</w:t>
      </w:r>
      <w:r w:rsidRPr="00FC4B45">
        <w:rPr>
          <w:sz w:val="20"/>
          <w:szCs w:val="20"/>
        </w:rPr>
        <w:t xml:space="preserve"> 21(4): 230-234.</w:t>
      </w:r>
      <w:bookmarkEnd w:id="37"/>
    </w:p>
    <w:p w14:paraId="4847ED3C" w14:textId="015443F5" w:rsidR="00E156FC" w:rsidRPr="00FC4B45" w:rsidRDefault="00E156FC" w:rsidP="00E156FC">
      <w:pPr>
        <w:pStyle w:val="EndNoteBibliography"/>
        <w:spacing w:before="60" w:after="0" w:line="240" w:lineRule="auto"/>
        <w:jc w:val="both"/>
        <w:rPr>
          <w:sz w:val="20"/>
          <w:szCs w:val="20"/>
        </w:rPr>
      </w:pPr>
      <w:bookmarkStart w:id="38" w:name="_ENREF_21"/>
      <w:r w:rsidRPr="00FC4B45">
        <w:rPr>
          <w:sz w:val="20"/>
          <w:szCs w:val="20"/>
        </w:rPr>
        <w:t>Patra A</w:t>
      </w:r>
      <w:r w:rsidR="009D68CA" w:rsidRPr="00FC4B45">
        <w:rPr>
          <w:sz w:val="20"/>
          <w:szCs w:val="20"/>
        </w:rPr>
        <w:t>.</w:t>
      </w:r>
      <w:r w:rsidRPr="00FC4B45">
        <w:rPr>
          <w:sz w:val="20"/>
          <w:szCs w:val="20"/>
        </w:rPr>
        <w:t>K</w:t>
      </w:r>
      <w:r w:rsidR="009D68CA" w:rsidRPr="00FC4B45">
        <w:rPr>
          <w:sz w:val="20"/>
          <w:szCs w:val="20"/>
        </w:rPr>
        <w:t>.</w:t>
      </w:r>
      <w:r w:rsidRPr="00FC4B45">
        <w:rPr>
          <w:sz w:val="20"/>
          <w:szCs w:val="20"/>
        </w:rPr>
        <w:t xml:space="preserve"> (2013)</w:t>
      </w:r>
      <w:r w:rsidR="009D68CA" w:rsidRPr="00FC4B45">
        <w:rPr>
          <w:sz w:val="20"/>
          <w:szCs w:val="20"/>
        </w:rPr>
        <w:t>.</w:t>
      </w:r>
      <w:r w:rsidRPr="00FC4B45">
        <w:rPr>
          <w:sz w:val="20"/>
          <w:szCs w:val="20"/>
        </w:rPr>
        <w:t xml:space="preserve"> The effect of dietary fats on methane emissions, and its other effects on digestibility, rumen fermentation and lactation performance in cattle: A meta-analysis. Livestock Science</w:t>
      </w:r>
      <w:r w:rsidR="00811916" w:rsidRPr="00FC4B45">
        <w:rPr>
          <w:sz w:val="20"/>
          <w:szCs w:val="20"/>
        </w:rPr>
        <w:t>.</w:t>
      </w:r>
      <w:r w:rsidRPr="00FC4B45">
        <w:rPr>
          <w:sz w:val="20"/>
          <w:szCs w:val="20"/>
        </w:rPr>
        <w:t xml:space="preserve"> 155(2-3): 244-254.</w:t>
      </w:r>
      <w:bookmarkEnd w:id="38"/>
    </w:p>
    <w:p w14:paraId="0A64FD14" w14:textId="62B47183" w:rsidR="00E156FC" w:rsidRPr="00FC4B45" w:rsidRDefault="00E156FC" w:rsidP="00E156FC">
      <w:pPr>
        <w:pStyle w:val="EndNoteBibliography"/>
        <w:spacing w:before="60" w:after="0" w:line="240" w:lineRule="auto"/>
        <w:jc w:val="both"/>
        <w:rPr>
          <w:sz w:val="20"/>
          <w:szCs w:val="20"/>
        </w:rPr>
      </w:pPr>
      <w:bookmarkStart w:id="39" w:name="_ENREF_22"/>
      <w:r w:rsidRPr="00FC4B45">
        <w:rPr>
          <w:sz w:val="20"/>
          <w:szCs w:val="20"/>
        </w:rPr>
        <w:t>Patra A</w:t>
      </w:r>
      <w:r w:rsidR="009D68CA" w:rsidRPr="00FC4B45">
        <w:rPr>
          <w:sz w:val="20"/>
          <w:szCs w:val="20"/>
        </w:rPr>
        <w:t>.</w:t>
      </w:r>
      <w:r w:rsidRPr="00FC4B45">
        <w:rPr>
          <w:sz w:val="20"/>
          <w:szCs w:val="20"/>
        </w:rPr>
        <w:t>K</w:t>
      </w:r>
      <w:r w:rsidR="009D68CA" w:rsidRPr="00FC4B45">
        <w:rPr>
          <w:sz w:val="20"/>
          <w:szCs w:val="20"/>
        </w:rPr>
        <w:t>.</w:t>
      </w:r>
      <w:r w:rsidRPr="00FC4B45">
        <w:rPr>
          <w:sz w:val="20"/>
          <w:szCs w:val="20"/>
        </w:rPr>
        <w:t xml:space="preserve"> (2014)</w:t>
      </w:r>
      <w:r w:rsidR="009D68CA" w:rsidRPr="00FC4B45">
        <w:rPr>
          <w:sz w:val="20"/>
          <w:szCs w:val="20"/>
        </w:rPr>
        <w:t>.</w:t>
      </w:r>
      <w:r w:rsidRPr="00FC4B45">
        <w:rPr>
          <w:sz w:val="20"/>
          <w:szCs w:val="20"/>
        </w:rPr>
        <w:t xml:space="preserve"> A meta-analysis of the effect of dietary fat on enteric methane production, digestibility and rumen fermentation in sheep, and a comparison of these responses between cattle and sheep. Livestock Science</w:t>
      </w:r>
      <w:r w:rsidR="00811916" w:rsidRPr="00FC4B45">
        <w:rPr>
          <w:sz w:val="20"/>
          <w:szCs w:val="20"/>
        </w:rPr>
        <w:t>.</w:t>
      </w:r>
      <w:r w:rsidRPr="00FC4B45">
        <w:rPr>
          <w:sz w:val="20"/>
          <w:szCs w:val="20"/>
        </w:rPr>
        <w:t xml:space="preserve"> 162: 97-103.</w:t>
      </w:r>
      <w:bookmarkEnd w:id="39"/>
    </w:p>
    <w:p w14:paraId="5F4D996B" w14:textId="78C84FCC" w:rsidR="00E156FC" w:rsidRPr="00FC4B45" w:rsidRDefault="00E156FC" w:rsidP="00E156FC">
      <w:pPr>
        <w:pStyle w:val="EndNoteBibliography"/>
        <w:spacing w:before="60" w:after="0" w:line="240" w:lineRule="auto"/>
        <w:jc w:val="both"/>
        <w:rPr>
          <w:sz w:val="20"/>
          <w:szCs w:val="20"/>
        </w:rPr>
      </w:pPr>
      <w:bookmarkStart w:id="40" w:name="_ENREF_23"/>
      <w:r w:rsidRPr="00FC4B45">
        <w:rPr>
          <w:sz w:val="20"/>
          <w:szCs w:val="20"/>
        </w:rPr>
        <w:t>Patra A</w:t>
      </w:r>
      <w:r w:rsidR="009D68CA" w:rsidRPr="00FC4B45">
        <w:rPr>
          <w:sz w:val="20"/>
          <w:szCs w:val="20"/>
        </w:rPr>
        <w:t>.</w:t>
      </w:r>
      <w:r w:rsidRPr="00FC4B45">
        <w:rPr>
          <w:sz w:val="20"/>
          <w:szCs w:val="20"/>
        </w:rPr>
        <w:t>K</w:t>
      </w:r>
      <w:r w:rsidR="009D68CA" w:rsidRPr="00FC4B45">
        <w:rPr>
          <w:sz w:val="20"/>
          <w:szCs w:val="20"/>
        </w:rPr>
        <w:t>.</w:t>
      </w:r>
      <w:r w:rsidRPr="00FC4B45">
        <w:rPr>
          <w:sz w:val="20"/>
          <w:szCs w:val="20"/>
        </w:rPr>
        <w:t>, Yu Z</w:t>
      </w:r>
      <w:r w:rsidR="009D68CA" w:rsidRPr="00FC4B45">
        <w:rPr>
          <w:sz w:val="20"/>
          <w:szCs w:val="20"/>
        </w:rPr>
        <w:t>.</w:t>
      </w:r>
      <w:r w:rsidRPr="00FC4B45">
        <w:rPr>
          <w:sz w:val="20"/>
          <w:szCs w:val="20"/>
        </w:rPr>
        <w:t xml:space="preserve"> (2013)</w:t>
      </w:r>
      <w:r w:rsidR="009D68CA" w:rsidRPr="00FC4B45">
        <w:rPr>
          <w:sz w:val="20"/>
          <w:szCs w:val="20"/>
        </w:rPr>
        <w:t>.</w:t>
      </w:r>
      <w:r w:rsidRPr="00FC4B45">
        <w:rPr>
          <w:sz w:val="20"/>
          <w:szCs w:val="20"/>
        </w:rPr>
        <w:t xml:space="preserve"> Effects of coconut and fish oils on ruminal methanogenesis, fermentation, and abundance and diversity of microbial populations </w:t>
      </w:r>
      <w:r w:rsidRPr="00FC4B45">
        <w:rPr>
          <w:i/>
          <w:sz w:val="20"/>
          <w:szCs w:val="20"/>
        </w:rPr>
        <w:t>in vitro</w:t>
      </w:r>
      <w:r w:rsidRPr="00FC4B45">
        <w:rPr>
          <w:sz w:val="20"/>
          <w:szCs w:val="20"/>
        </w:rPr>
        <w:t>. Journal of Dairy Science</w:t>
      </w:r>
      <w:r w:rsidR="00811916" w:rsidRPr="00FC4B45">
        <w:rPr>
          <w:sz w:val="20"/>
          <w:szCs w:val="20"/>
        </w:rPr>
        <w:t>.</w:t>
      </w:r>
      <w:r w:rsidRPr="00FC4B45">
        <w:rPr>
          <w:sz w:val="20"/>
          <w:szCs w:val="20"/>
        </w:rPr>
        <w:t xml:space="preserve"> 96(3): 1782-1792.</w:t>
      </w:r>
      <w:bookmarkEnd w:id="40"/>
    </w:p>
    <w:p w14:paraId="3F037DB4" w14:textId="6E6613D2" w:rsidR="00E156FC" w:rsidRPr="00FC4B45" w:rsidRDefault="00E156FC" w:rsidP="00E156FC">
      <w:pPr>
        <w:pStyle w:val="EndNoteBibliography"/>
        <w:spacing w:before="60" w:after="0" w:line="240" w:lineRule="auto"/>
        <w:jc w:val="both"/>
        <w:rPr>
          <w:sz w:val="20"/>
          <w:szCs w:val="20"/>
        </w:rPr>
      </w:pPr>
      <w:bookmarkStart w:id="41" w:name="_ENREF_24"/>
      <w:r w:rsidRPr="00FC4B45">
        <w:rPr>
          <w:sz w:val="20"/>
          <w:szCs w:val="20"/>
        </w:rPr>
        <w:lastRenderedPageBreak/>
        <w:t>Pirondini M</w:t>
      </w:r>
      <w:r w:rsidR="009D68CA" w:rsidRPr="00FC4B45">
        <w:rPr>
          <w:sz w:val="20"/>
          <w:szCs w:val="20"/>
        </w:rPr>
        <w:t>.</w:t>
      </w:r>
      <w:r w:rsidRPr="00FC4B45">
        <w:rPr>
          <w:sz w:val="20"/>
          <w:szCs w:val="20"/>
        </w:rPr>
        <w:t>, Colombini S</w:t>
      </w:r>
      <w:r w:rsidR="009D68CA" w:rsidRPr="00FC4B45">
        <w:rPr>
          <w:sz w:val="20"/>
          <w:szCs w:val="20"/>
        </w:rPr>
        <w:t>.</w:t>
      </w:r>
      <w:r w:rsidRPr="00FC4B45">
        <w:rPr>
          <w:sz w:val="20"/>
          <w:szCs w:val="20"/>
        </w:rPr>
        <w:t>, Mele M</w:t>
      </w:r>
      <w:r w:rsidR="009D68CA" w:rsidRPr="00FC4B45">
        <w:rPr>
          <w:sz w:val="20"/>
          <w:szCs w:val="20"/>
        </w:rPr>
        <w:t>.</w:t>
      </w:r>
      <w:r w:rsidRPr="00FC4B45">
        <w:rPr>
          <w:sz w:val="20"/>
          <w:szCs w:val="20"/>
        </w:rPr>
        <w:t>, Malagutti L</w:t>
      </w:r>
      <w:r w:rsidR="009D68CA" w:rsidRPr="00FC4B45">
        <w:rPr>
          <w:sz w:val="20"/>
          <w:szCs w:val="20"/>
        </w:rPr>
        <w:t>.</w:t>
      </w:r>
      <w:r w:rsidRPr="00FC4B45">
        <w:rPr>
          <w:sz w:val="20"/>
          <w:szCs w:val="20"/>
        </w:rPr>
        <w:t>, Rapetti L</w:t>
      </w:r>
      <w:r w:rsidR="009D68CA" w:rsidRPr="00FC4B45">
        <w:rPr>
          <w:sz w:val="20"/>
          <w:szCs w:val="20"/>
        </w:rPr>
        <w:t>.</w:t>
      </w:r>
      <w:r w:rsidRPr="00FC4B45">
        <w:rPr>
          <w:sz w:val="20"/>
          <w:szCs w:val="20"/>
        </w:rPr>
        <w:t>, Galassi G</w:t>
      </w:r>
      <w:r w:rsidR="009D68CA" w:rsidRPr="00FC4B45">
        <w:rPr>
          <w:sz w:val="20"/>
          <w:szCs w:val="20"/>
        </w:rPr>
        <w:t>.</w:t>
      </w:r>
      <w:r w:rsidRPr="00FC4B45">
        <w:rPr>
          <w:sz w:val="20"/>
          <w:szCs w:val="20"/>
        </w:rPr>
        <w:t>, Crovetto G</w:t>
      </w:r>
      <w:r w:rsidR="009D68CA" w:rsidRPr="00FC4B45">
        <w:rPr>
          <w:sz w:val="20"/>
          <w:szCs w:val="20"/>
        </w:rPr>
        <w:t>.</w:t>
      </w:r>
      <w:r w:rsidRPr="00FC4B45">
        <w:rPr>
          <w:sz w:val="20"/>
          <w:szCs w:val="20"/>
        </w:rPr>
        <w:t>M</w:t>
      </w:r>
      <w:r w:rsidR="009D68CA" w:rsidRPr="00FC4B45">
        <w:rPr>
          <w:sz w:val="20"/>
          <w:szCs w:val="20"/>
        </w:rPr>
        <w:t>.</w:t>
      </w:r>
      <w:r w:rsidRPr="00FC4B45">
        <w:rPr>
          <w:sz w:val="20"/>
          <w:szCs w:val="20"/>
        </w:rPr>
        <w:t xml:space="preserve"> (2015)</w:t>
      </w:r>
      <w:r w:rsidR="009D68CA" w:rsidRPr="00FC4B45">
        <w:rPr>
          <w:sz w:val="20"/>
          <w:szCs w:val="20"/>
        </w:rPr>
        <w:t>.</w:t>
      </w:r>
      <w:r w:rsidRPr="00FC4B45">
        <w:rPr>
          <w:sz w:val="20"/>
          <w:szCs w:val="20"/>
        </w:rPr>
        <w:t xml:space="preserve"> Effect of dietary starch concentration and fish oil supplementation on milk yield and composition, diet digestibility, and methane emissions in lactating dairy cows. Journal of Dairy Science</w:t>
      </w:r>
      <w:r w:rsidR="00811916" w:rsidRPr="00FC4B45">
        <w:rPr>
          <w:sz w:val="20"/>
          <w:szCs w:val="20"/>
        </w:rPr>
        <w:t>.</w:t>
      </w:r>
      <w:r w:rsidRPr="00FC4B45">
        <w:rPr>
          <w:sz w:val="20"/>
          <w:szCs w:val="20"/>
        </w:rPr>
        <w:t xml:space="preserve"> 98(1): 357-372.</w:t>
      </w:r>
      <w:bookmarkEnd w:id="41"/>
    </w:p>
    <w:p w14:paraId="03FA4872" w14:textId="1CA75486" w:rsidR="00E156FC" w:rsidRPr="00FC4B45" w:rsidRDefault="00E156FC" w:rsidP="00E156FC">
      <w:pPr>
        <w:pStyle w:val="EndNoteBibliography"/>
        <w:spacing w:before="60" w:after="0" w:line="240" w:lineRule="auto"/>
        <w:jc w:val="both"/>
        <w:rPr>
          <w:sz w:val="20"/>
          <w:szCs w:val="20"/>
        </w:rPr>
      </w:pPr>
      <w:bookmarkStart w:id="42" w:name="_ENREF_25"/>
      <w:r w:rsidRPr="00FC4B45">
        <w:rPr>
          <w:sz w:val="20"/>
          <w:szCs w:val="20"/>
        </w:rPr>
        <w:t>Razzaghi A</w:t>
      </w:r>
      <w:r w:rsidR="009D68CA" w:rsidRPr="00FC4B45">
        <w:rPr>
          <w:sz w:val="20"/>
          <w:szCs w:val="20"/>
        </w:rPr>
        <w:t>.</w:t>
      </w:r>
      <w:r w:rsidRPr="00FC4B45">
        <w:rPr>
          <w:sz w:val="20"/>
          <w:szCs w:val="20"/>
        </w:rPr>
        <w:t>, Valizadeh R</w:t>
      </w:r>
      <w:r w:rsidR="009D68CA" w:rsidRPr="00FC4B45">
        <w:rPr>
          <w:sz w:val="20"/>
          <w:szCs w:val="20"/>
        </w:rPr>
        <w:t>.</w:t>
      </w:r>
      <w:r w:rsidRPr="00FC4B45">
        <w:rPr>
          <w:sz w:val="20"/>
          <w:szCs w:val="20"/>
        </w:rPr>
        <w:t>, Naserian A</w:t>
      </w:r>
      <w:r w:rsidR="009D68CA" w:rsidRPr="00FC4B45">
        <w:rPr>
          <w:sz w:val="20"/>
          <w:szCs w:val="20"/>
        </w:rPr>
        <w:t>.</w:t>
      </w:r>
      <w:r w:rsidRPr="00FC4B45">
        <w:rPr>
          <w:sz w:val="20"/>
          <w:szCs w:val="20"/>
        </w:rPr>
        <w:t>A</w:t>
      </w:r>
      <w:r w:rsidR="009D68CA" w:rsidRPr="00FC4B45">
        <w:rPr>
          <w:sz w:val="20"/>
          <w:szCs w:val="20"/>
        </w:rPr>
        <w:t>.</w:t>
      </w:r>
      <w:r w:rsidRPr="00FC4B45">
        <w:rPr>
          <w:sz w:val="20"/>
          <w:szCs w:val="20"/>
        </w:rPr>
        <w:t xml:space="preserve">, Danesh </w:t>
      </w:r>
      <w:r w:rsidR="009D68CA" w:rsidRPr="00FC4B45">
        <w:rPr>
          <w:sz w:val="20"/>
          <w:szCs w:val="20"/>
        </w:rPr>
        <w:t>M.</w:t>
      </w:r>
      <w:r w:rsidRPr="00FC4B45">
        <w:rPr>
          <w:sz w:val="20"/>
          <w:szCs w:val="20"/>
        </w:rPr>
        <w:t>M</w:t>
      </w:r>
      <w:r w:rsidR="009D68CA" w:rsidRPr="00FC4B45">
        <w:rPr>
          <w:sz w:val="20"/>
          <w:szCs w:val="20"/>
        </w:rPr>
        <w:t>.</w:t>
      </w:r>
      <w:r w:rsidRPr="00FC4B45">
        <w:rPr>
          <w:sz w:val="20"/>
          <w:szCs w:val="20"/>
        </w:rPr>
        <w:t>, Rashidi L</w:t>
      </w:r>
      <w:r w:rsidR="009D68CA" w:rsidRPr="00FC4B45">
        <w:rPr>
          <w:sz w:val="20"/>
          <w:szCs w:val="20"/>
        </w:rPr>
        <w:t>.</w:t>
      </w:r>
      <w:r w:rsidRPr="00FC4B45">
        <w:rPr>
          <w:sz w:val="20"/>
          <w:szCs w:val="20"/>
        </w:rPr>
        <w:t xml:space="preserve"> (2015)</w:t>
      </w:r>
      <w:r w:rsidR="009D68CA" w:rsidRPr="00FC4B45">
        <w:rPr>
          <w:sz w:val="20"/>
          <w:szCs w:val="20"/>
        </w:rPr>
        <w:t>.</w:t>
      </w:r>
      <w:r w:rsidRPr="00FC4B45">
        <w:rPr>
          <w:sz w:val="20"/>
          <w:szCs w:val="20"/>
        </w:rPr>
        <w:t xml:space="preserve"> Effects of sucrose and sunflower oil addition to diet of Saanen dairy goats on performance and milk fatty acid profile. Livestock Science</w:t>
      </w:r>
      <w:r w:rsidR="00811916" w:rsidRPr="00FC4B45">
        <w:rPr>
          <w:sz w:val="20"/>
          <w:szCs w:val="20"/>
        </w:rPr>
        <w:t>.</w:t>
      </w:r>
      <w:r w:rsidRPr="00FC4B45">
        <w:rPr>
          <w:sz w:val="20"/>
          <w:szCs w:val="20"/>
        </w:rPr>
        <w:t xml:space="preserve"> 173: 14-23.</w:t>
      </w:r>
      <w:bookmarkEnd w:id="42"/>
    </w:p>
    <w:p w14:paraId="33BA0007" w14:textId="6122A9CC" w:rsidR="00E156FC" w:rsidRPr="00FC4B45" w:rsidRDefault="00E156FC" w:rsidP="00E156FC">
      <w:pPr>
        <w:pStyle w:val="EndNoteBibliography"/>
        <w:spacing w:before="60" w:after="0" w:line="240" w:lineRule="auto"/>
        <w:jc w:val="both"/>
        <w:rPr>
          <w:sz w:val="20"/>
          <w:szCs w:val="20"/>
        </w:rPr>
      </w:pPr>
      <w:bookmarkStart w:id="43" w:name="_ENREF_26"/>
      <w:r w:rsidRPr="00FC4B45">
        <w:rPr>
          <w:sz w:val="20"/>
          <w:szCs w:val="20"/>
        </w:rPr>
        <w:t>Rego O</w:t>
      </w:r>
      <w:r w:rsidR="009D68CA" w:rsidRPr="00FC4B45">
        <w:rPr>
          <w:sz w:val="20"/>
          <w:szCs w:val="20"/>
        </w:rPr>
        <w:t>.</w:t>
      </w:r>
      <w:r w:rsidRPr="00FC4B45">
        <w:rPr>
          <w:sz w:val="20"/>
          <w:szCs w:val="20"/>
        </w:rPr>
        <w:t>A</w:t>
      </w:r>
      <w:r w:rsidR="009D68CA" w:rsidRPr="00FC4B45">
        <w:rPr>
          <w:sz w:val="20"/>
          <w:szCs w:val="20"/>
        </w:rPr>
        <w:t>.</w:t>
      </w:r>
      <w:r w:rsidRPr="00FC4B45">
        <w:rPr>
          <w:sz w:val="20"/>
          <w:szCs w:val="20"/>
        </w:rPr>
        <w:t>, Alves S</w:t>
      </w:r>
      <w:r w:rsidR="009D68CA" w:rsidRPr="00FC4B45">
        <w:rPr>
          <w:sz w:val="20"/>
          <w:szCs w:val="20"/>
        </w:rPr>
        <w:t>.</w:t>
      </w:r>
      <w:r w:rsidRPr="00FC4B45">
        <w:rPr>
          <w:sz w:val="20"/>
          <w:szCs w:val="20"/>
        </w:rPr>
        <w:t>P</w:t>
      </w:r>
      <w:r w:rsidR="009D68CA" w:rsidRPr="00FC4B45">
        <w:rPr>
          <w:sz w:val="20"/>
          <w:szCs w:val="20"/>
        </w:rPr>
        <w:t>.</w:t>
      </w:r>
      <w:r w:rsidRPr="00FC4B45">
        <w:rPr>
          <w:sz w:val="20"/>
          <w:szCs w:val="20"/>
        </w:rPr>
        <w:t>, Antunes L</w:t>
      </w:r>
      <w:r w:rsidR="009D68CA" w:rsidRPr="00FC4B45">
        <w:rPr>
          <w:sz w:val="20"/>
          <w:szCs w:val="20"/>
        </w:rPr>
        <w:t>.</w:t>
      </w:r>
      <w:r w:rsidRPr="00FC4B45">
        <w:rPr>
          <w:sz w:val="20"/>
          <w:szCs w:val="20"/>
        </w:rPr>
        <w:t>M</w:t>
      </w:r>
      <w:r w:rsidR="009D68CA" w:rsidRPr="00FC4B45">
        <w:rPr>
          <w:sz w:val="20"/>
          <w:szCs w:val="20"/>
        </w:rPr>
        <w:t>.</w:t>
      </w:r>
      <w:r w:rsidRPr="00FC4B45">
        <w:rPr>
          <w:sz w:val="20"/>
          <w:szCs w:val="20"/>
        </w:rPr>
        <w:t>S</w:t>
      </w:r>
      <w:r w:rsidR="009D68CA" w:rsidRPr="00FC4B45">
        <w:rPr>
          <w:sz w:val="20"/>
          <w:szCs w:val="20"/>
        </w:rPr>
        <w:t>.</w:t>
      </w:r>
      <w:r w:rsidRPr="00FC4B45">
        <w:rPr>
          <w:sz w:val="20"/>
          <w:szCs w:val="20"/>
        </w:rPr>
        <w:t>, Rosa H</w:t>
      </w:r>
      <w:r w:rsidR="009D68CA" w:rsidRPr="00FC4B45">
        <w:rPr>
          <w:sz w:val="20"/>
          <w:szCs w:val="20"/>
        </w:rPr>
        <w:t>.</w:t>
      </w:r>
      <w:r w:rsidRPr="00FC4B45">
        <w:rPr>
          <w:sz w:val="20"/>
          <w:szCs w:val="20"/>
        </w:rPr>
        <w:t>J</w:t>
      </w:r>
      <w:r w:rsidR="009D68CA" w:rsidRPr="00FC4B45">
        <w:rPr>
          <w:sz w:val="20"/>
          <w:szCs w:val="20"/>
        </w:rPr>
        <w:t>.</w:t>
      </w:r>
      <w:r w:rsidRPr="00FC4B45">
        <w:rPr>
          <w:sz w:val="20"/>
          <w:szCs w:val="20"/>
        </w:rPr>
        <w:t>D</w:t>
      </w:r>
      <w:r w:rsidR="009D68CA" w:rsidRPr="00FC4B45">
        <w:rPr>
          <w:sz w:val="20"/>
          <w:szCs w:val="20"/>
        </w:rPr>
        <w:t>.</w:t>
      </w:r>
      <w:r w:rsidRPr="00FC4B45">
        <w:rPr>
          <w:sz w:val="20"/>
          <w:szCs w:val="20"/>
        </w:rPr>
        <w:t>, Alfaia C</w:t>
      </w:r>
      <w:r w:rsidR="009D68CA" w:rsidRPr="00FC4B45">
        <w:rPr>
          <w:sz w:val="20"/>
          <w:szCs w:val="20"/>
        </w:rPr>
        <w:t>.</w:t>
      </w:r>
      <w:r w:rsidRPr="00FC4B45">
        <w:rPr>
          <w:sz w:val="20"/>
          <w:szCs w:val="20"/>
        </w:rPr>
        <w:t>F</w:t>
      </w:r>
      <w:r w:rsidR="009D68CA" w:rsidRPr="00FC4B45">
        <w:rPr>
          <w:sz w:val="20"/>
          <w:szCs w:val="20"/>
        </w:rPr>
        <w:t>.</w:t>
      </w:r>
      <w:r w:rsidRPr="00FC4B45">
        <w:rPr>
          <w:sz w:val="20"/>
          <w:szCs w:val="20"/>
        </w:rPr>
        <w:t>M</w:t>
      </w:r>
      <w:r w:rsidR="009D68CA" w:rsidRPr="00FC4B45">
        <w:rPr>
          <w:sz w:val="20"/>
          <w:szCs w:val="20"/>
        </w:rPr>
        <w:t>.</w:t>
      </w:r>
      <w:r w:rsidRPr="00FC4B45">
        <w:rPr>
          <w:sz w:val="20"/>
          <w:szCs w:val="20"/>
        </w:rPr>
        <w:t>, Prates J</w:t>
      </w:r>
      <w:r w:rsidR="009D68CA" w:rsidRPr="00FC4B45">
        <w:rPr>
          <w:sz w:val="20"/>
          <w:szCs w:val="20"/>
        </w:rPr>
        <w:t>.</w:t>
      </w:r>
      <w:r w:rsidRPr="00FC4B45">
        <w:rPr>
          <w:sz w:val="20"/>
          <w:szCs w:val="20"/>
        </w:rPr>
        <w:t>A</w:t>
      </w:r>
      <w:r w:rsidR="009D68CA" w:rsidRPr="00FC4B45">
        <w:rPr>
          <w:sz w:val="20"/>
          <w:szCs w:val="20"/>
        </w:rPr>
        <w:t>.</w:t>
      </w:r>
      <w:r w:rsidRPr="00FC4B45">
        <w:rPr>
          <w:sz w:val="20"/>
          <w:szCs w:val="20"/>
        </w:rPr>
        <w:t>M</w:t>
      </w:r>
      <w:r w:rsidR="009D68CA" w:rsidRPr="00FC4B45">
        <w:rPr>
          <w:sz w:val="20"/>
          <w:szCs w:val="20"/>
        </w:rPr>
        <w:t>.</w:t>
      </w:r>
      <w:r w:rsidRPr="00FC4B45">
        <w:rPr>
          <w:sz w:val="20"/>
          <w:szCs w:val="20"/>
        </w:rPr>
        <w:t>, Cabrita A</w:t>
      </w:r>
      <w:r w:rsidR="009D68CA" w:rsidRPr="00FC4B45">
        <w:rPr>
          <w:sz w:val="20"/>
          <w:szCs w:val="20"/>
        </w:rPr>
        <w:t>.</w:t>
      </w:r>
      <w:r w:rsidRPr="00FC4B45">
        <w:rPr>
          <w:sz w:val="20"/>
          <w:szCs w:val="20"/>
        </w:rPr>
        <w:t>R</w:t>
      </w:r>
      <w:r w:rsidR="009D68CA" w:rsidRPr="00FC4B45">
        <w:rPr>
          <w:sz w:val="20"/>
          <w:szCs w:val="20"/>
        </w:rPr>
        <w:t>.</w:t>
      </w:r>
      <w:r w:rsidRPr="00FC4B45">
        <w:rPr>
          <w:sz w:val="20"/>
          <w:szCs w:val="20"/>
        </w:rPr>
        <w:t>J</w:t>
      </w:r>
      <w:r w:rsidR="009D68CA" w:rsidRPr="00FC4B45">
        <w:rPr>
          <w:sz w:val="20"/>
          <w:szCs w:val="20"/>
        </w:rPr>
        <w:t>.</w:t>
      </w:r>
      <w:r w:rsidRPr="00FC4B45">
        <w:rPr>
          <w:sz w:val="20"/>
          <w:szCs w:val="20"/>
        </w:rPr>
        <w:t>, Fonseca A</w:t>
      </w:r>
      <w:r w:rsidR="009D68CA" w:rsidRPr="00FC4B45">
        <w:rPr>
          <w:sz w:val="20"/>
          <w:szCs w:val="20"/>
        </w:rPr>
        <w:t>.</w:t>
      </w:r>
      <w:r w:rsidRPr="00FC4B45">
        <w:rPr>
          <w:sz w:val="20"/>
          <w:szCs w:val="20"/>
        </w:rPr>
        <w:t>J</w:t>
      </w:r>
      <w:r w:rsidR="009D68CA" w:rsidRPr="00FC4B45">
        <w:rPr>
          <w:sz w:val="20"/>
          <w:szCs w:val="20"/>
        </w:rPr>
        <w:t>.</w:t>
      </w:r>
      <w:r w:rsidRPr="00FC4B45">
        <w:rPr>
          <w:sz w:val="20"/>
          <w:szCs w:val="20"/>
        </w:rPr>
        <w:t>M</w:t>
      </w:r>
      <w:r w:rsidR="009D68CA" w:rsidRPr="00FC4B45">
        <w:rPr>
          <w:sz w:val="20"/>
          <w:szCs w:val="20"/>
        </w:rPr>
        <w:t>.</w:t>
      </w:r>
      <w:r w:rsidRPr="00FC4B45">
        <w:rPr>
          <w:sz w:val="20"/>
          <w:szCs w:val="20"/>
        </w:rPr>
        <w:t>, Bessa R</w:t>
      </w:r>
      <w:r w:rsidR="009D68CA" w:rsidRPr="00FC4B45">
        <w:rPr>
          <w:sz w:val="20"/>
          <w:szCs w:val="20"/>
        </w:rPr>
        <w:t>.</w:t>
      </w:r>
      <w:r w:rsidRPr="00FC4B45">
        <w:rPr>
          <w:sz w:val="20"/>
          <w:szCs w:val="20"/>
        </w:rPr>
        <w:t>J</w:t>
      </w:r>
      <w:r w:rsidR="009D68CA" w:rsidRPr="00FC4B45">
        <w:rPr>
          <w:sz w:val="20"/>
          <w:szCs w:val="20"/>
        </w:rPr>
        <w:t>.</w:t>
      </w:r>
      <w:r w:rsidRPr="00FC4B45">
        <w:rPr>
          <w:sz w:val="20"/>
          <w:szCs w:val="20"/>
        </w:rPr>
        <w:t>B</w:t>
      </w:r>
      <w:r w:rsidR="009D68CA" w:rsidRPr="00FC4B45">
        <w:rPr>
          <w:sz w:val="20"/>
          <w:szCs w:val="20"/>
        </w:rPr>
        <w:t>.</w:t>
      </w:r>
      <w:r w:rsidRPr="00FC4B45">
        <w:rPr>
          <w:sz w:val="20"/>
          <w:szCs w:val="20"/>
        </w:rPr>
        <w:t xml:space="preserve"> (2009)</w:t>
      </w:r>
      <w:r w:rsidR="009D68CA" w:rsidRPr="00FC4B45">
        <w:rPr>
          <w:sz w:val="20"/>
          <w:szCs w:val="20"/>
        </w:rPr>
        <w:t>.</w:t>
      </w:r>
      <w:r w:rsidRPr="00FC4B45">
        <w:rPr>
          <w:sz w:val="20"/>
          <w:szCs w:val="20"/>
        </w:rPr>
        <w:t xml:space="preserve"> Rumen biohydrogenation-derived fatty acids in milk fat from grazing dairy cows supplemented with rapeseed, sunflower, or linseed oils. Journal of Dairy Science</w:t>
      </w:r>
      <w:r w:rsidR="00811916" w:rsidRPr="00FC4B45">
        <w:rPr>
          <w:sz w:val="20"/>
          <w:szCs w:val="20"/>
        </w:rPr>
        <w:t>.</w:t>
      </w:r>
      <w:r w:rsidRPr="00FC4B45">
        <w:rPr>
          <w:sz w:val="20"/>
          <w:szCs w:val="20"/>
        </w:rPr>
        <w:t xml:space="preserve"> 92: 4530-4540.</w:t>
      </w:r>
      <w:bookmarkEnd w:id="43"/>
    </w:p>
    <w:p w14:paraId="019FD261" w14:textId="5F3EFBA7" w:rsidR="00E156FC" w:rsidRPr="00FC4B45" w:rsidRDefault="00E156FC" w:rsidP="00E156FC">
      <w:pPr>
        <w:pStyle w:val="EndNoteBibliography"/>
        <w:spacing w:before="60" w:after="0" w:line="240" w:lineRule="auto"/>
        <w:jc w:val="both"/>
        <w:rPr>
          <w:sz w:val="20"/>
          <w:szCs w:val="20"/>
        </w:rPr>
      </w:pPr>
      <w:bookmarkStart w:id="44" w:name="_ENREF_27"/>
      <w:r w:rsidRPr="00FC4B45">
        <w:rPr>
          <w:sz w:val="20"/>
          <w:szCs w:val="20"/>
        </w:rPr>
        <w:t>SAS</w:t>
      </w:r>
      <w:r w:rsidR="009D68CA" w:rsidRPr="00FC4B45">
        <w:rPr>
          <w:sz w:val="20"/>
          <w:szCs w:val="20"/>
        </w:rPr>
        <w:t>.</w:t>
      </w:r>
      <w:r w:rsidRPr="00FC4B45">
        <w:rPr>
          <w:sz w:val="20"/>
          <w:szCs w:val="20"/>
        </w:rPr>
        <w:t xml:space="preserve"> (2002)</w:t>
      </w:r>
      <w:r w:rsidR="009D68CA" w:rsidRPr="00FC4B45">
        <w:rPr>
          <w:sz w:val="20"/>
          <w:szCs w:val="20"/>
        </w:rPr>
        <w:t>.</w:t>
      </w:r>
      <w:r w:rsidRPr="00FC4B45">
        <w:rPr>
          <w:sz w:val="20"/>
          <w:szCs w:val="20"/>
        </w:rPr>
        <w:t xml:space="preserve"> SAS software User’s Guide, release 9.0. SAS Institute. Inc., Cary, NC.</w:t>
      </w:r>
      <w:bookmarkEnd w:id="44"/>
    </w:p>
    <w:p w14:paraId="6B5691CD" w14:textId="2AEC473B" w:rsidR="00E156FC" w:rsidRPr="00FC4B45" w:rsidRDefault="00E156FC" w:rsidP="00E156FC">
      <w:pPr>
        <w:pStyle w:val="EndNoteBibliography"/>
        <w:spacing w:before="60" w:after="0" w:line="240" w:lineRule="auto"/>
        <w:jc w:val="both"/>
        <w:rPr>
          <w:sz w:val="20"/>
          <w:szCs w:val="20"/>
        </w:rPr>
      </w:pPr>
      <w:bookmarkStart w:id="45" w:name="_ENREF_28"/>
      <w:r w:rsidRPr="00FC4B45">
        <w:rPr>
          <w:sz w:val="20"/>
          <w:szCs w:val="20"/>
        </w:rPr>
        <w:t>Sekikawa A</w:t>
      </w:r>
      <w:r w:rsidR="009D68CA" w:rsidRPr="00FC4B45">
        <w:rPr>
          <w:sz w:val="20"/>
          <w:szCs w:val="20"/>
        </w:rPr>
        <w:t>.</w:t>
      </w:r>
      <w:r w:rsidRPr="00FC4B45">
        <w:rPr>
          <w:sz w:val="20"/>
          <w:szCs w:val="20"/>
        </w:rPr>
        <w:t>, Doyle M</w:t>
      </w:r>
      <w:r w:rsidR="009D68CA" w:rsidRPr="00FC4B45">
        <w:rPr>
          <w:sz w:val="20"/>
          <w:szCs w:val="20"/>
        </w:rPr>
        <w:t>.</w:t>
      </w:r>
      <w:r w:rsidRPr="00FC4B45">
        <w:rPr>
          <w:sz w:val="20"/>
          <w:szCs w:val="20"/>
        </w:rPr>
        <w:t>F</w:t>
      </w:r>
      <w:r w:rsidR="009D68CA" w:rsidRPr="00FC4B45">
        <w:rPr>
          <w:sz w:val="20"/>
          <w:szCs w:val="20"/>
        </w:rPr>
        <w:t>.</w:t>
      </w:r>
      <w:r w:rsidRPr="00FC4B45">
        <w:rPr>
          <w:sz w:val="20"/>
          <w:szCs w:val="20"/>
        </w:rPr>
        <w:t>, Kuller L</w:t>
      </w:r>
      <w:r w:rsidR="009D68CA" w:rsidRPr="00FC4B45">
        <w:rPr>
          <w:sz w:val="20"/>
          <w:szCs w:val="20"/>
        </w:rPr>
        <w:t>.</w:t>
      </w:r>
      <w:r w:rsidRPr="00FC4B45">
        <w:rPr>
          <w:sz w:val="20"/>
          <w:szCs w:val="20"/>
        </w:rPr>
        <w:t>H</w:t>
      </w:r>
      <w:r w:rsidR="009D68CA" w:rsidRPr="00FC4B45">
        <w:rPr>
          <w:sz w:val="20"/>
          <w:szCs w:val="20"/>
        </w:rPr>
        <w:t>.</w:t>
      </w:r>
      <w:r w:rsidRPr="00FC4B45">
        <w:rPr>
          <w:sz w:val="20"/>
          <w:szCs w:val="20"/>
        </w:rPr>
        <w:t xml:space="preserve"> (2015)</w:t>
      </w:r>
      <w:r w:rsidR="009D68CA" w:rsidRPr="00FC4B45">
        <w:rPr>
          <w:sz w:val="20"/>
          <w:szCs w:val="20"/>
        </w:rPr>
        <w:t>.</w:t>
      </w:r>
      <w:r w:rsidRPr="00FC4B45">
        <w:rPr>
          <w:sz w:val="20"/>
          <w:szCs w:val="20"/>
        </w:rPr>
        <w:t xml:space="preserve"> Recent findings of long- chain n-3 polyunsaturated fatty acids (LCn-3 PUFAs) on atherosclerosis and coronary heart disease (CHD) contrasting studies in Western countries to Japan. Trends in Cardiovascular Medicine. In Press.</w:t>
      </w:r>
      <w:bookmarkEnd w:id="45"/>
    </w:p>
    <w:p w14:paraId="73245903" w14:textId="5A64FC43" w:rsidR="00E156FC" w:rsidRPr="00FC4B45" w:rsidRDefault="00E156FC" w:rsidP="00E156FC">
      <w:pPr>
        <w:pStyle w:val="EndNoteBibliography"/>
        <w:spacing w:before="60" w:after="0" w:line="240" w:lineRule="auto"/>
        <w:jc w:val="both"/>
        <w:rPr>
          <w:sz w:val="20"/>
          <w:szCs w:val="20"/>
        </w:rPr>
      </w:pPr>
      <w:bookmarkStart w:id="46" w:name="_ENREF_29"/>
      <w:r w:rsidRPr="00FC4B45">
        <w:rPr>
          <w:sz w:val="20"/>
          <w:szCs w:val="20"/>
        </w:rPr>
        <w:t>Shingfield K</w:t>
      </w:r>
      <w:r w:rsidR="009D68CA" w:rsidRPr="00FC4B45">
        <w:rPr>
          <w:sz w:val="20"/>
          <w:szCs w:val="20"/>
        </w:rPr>
        <w:t>.</w:t>
      </w:r>
      <w:r w:rsidRPr="00FC4B45">
        <w:rPr>
          <w:sz w:val="20"/>
          <w:szCs w:val="20"/>
        </w:rPr>
        <w:t>J</w:t>
      </w:r>
      <w:r w:rsidR="009D68CA" w:rsidRPr="00FC4B45">
        <w:rPr>
          <w:sz w:val="20"/>
          <w:szCs w:val="20"/>
        </w:rPr>
        <w:t>.</w:t>
      </w:r>
      <w:r w:rsidRPr="00FC4B45">
        <w:rPr>
          <w:sz w:val="20"/>
          <w:szCs w:val="20"/>
        </w:rPr>
        <w:t>, Lee M</w:t>
      </w:r>
      <w:r w:rsidR="009D68CA" w:rsidRPr="00FC4B45">
        <w:rPr>
          <w:sz w:val="20"/>
          <w:szCs w:val="20"/>
        </w:rPr>
        <w:t>.</w:t>
      </w:r>
      <w:r w:rsidRPr="00FC4B45">
        <w:rPr>
          <w:sz w:val="20"/>
          <w:szCs w:val="20"/>
        </w:rPr>
        <w:t>R</w:t>
      </w:r>
      <w:r w:rsidR="009D68CA" w:rsidRPr="00FC4B45">
        <w:rPr>
          <w:sz w:val="20"/>
          <w:szCs w:val="20"/>
        </w:rPr>
        <w:t>.</w:t>
      </w:r>
      <w:r w:rsidRPr="00FC4B45">
        <w:rPr>
          <w:sz w:val="20"/>
          <w:szCs w:val="20"/>
        </w:rPr>
        <w:t>, Humphries D</w:t>
      </w:r>
      <w:r w:rsidR="009D68CA" w:rsidRPr="00FC4B45">
        <w:rPr>
          <w:sz w:val="20"/>
          <w:szCs w:val="20"/>
        </w:rPr>
        <w:t>.</w:t>
      </w:r>
      <w:r w:rsidRPr="00FC4B45">
        <w:rPr>
          <w:sz w:val="20"/>
          <w:szCs w:val="20"/>
        </w:rPr>
        <w:t>J</w:t>
      </w:r>
      <w:r w:rsidR="009D68CA" w:rsidRPr="00FC4B45">
        <w:rPr>
          <w:sz w:val="20"/>
          <w:szCs w:val="20"/>
        </w:rPr>
        <w:t>.</w:t>
      </w:r>
      <w:r w:rsidRPr="00FC4B45">
        <w:rPr>
          <w:sz w:val="20"/>
          <w:szCs w:val="20"/>
        </w:rPr>
        <w:t>, Scollan N</w:t>
      </w:r>
      <w:r w:rsidR="009D68CA" w:rsidRPr="00FC4B45">
        <w:rPr>
          <w:sz w:val="20"/>
          <w:szCs w:val="20"/>
        </w:rPr>
        <w:t>.</w:t>
      </w:r>
      <w:r w:rsidRPr="00FC4B45">
        <w:rPr>
          <w:sz w:val="20"/>
          <w:szCs w:val="20"/>
        </w:rPr>
        <w:t>D</w:t>
      </w:r>
      <w:r w:rsidR="009D68CA" w:rsidRPr="00FC4B45">
        <w:rPr>
          <w:sz w:val="20"/>
          <w:szCs w:val="20"/>
        </w:rPr>
        <w:t>.</w:t>
      </w:r>
      <w:r w:rsidRPr="00FC4B45">
        <w:rPr>
          <w:sz w:val="20"/>
          <w:szCs w:val="20"/>
        </w:rPr>
        <w:t>, Toivonen V</w:t>
      </w:r>
      <w:r w:rsidR="009D68CA" w:rsidRPr="00FC4B45">
        <w:rPr>
          <w:sz w:val="20"/>
          <w:szCs w:val="20"/>
        </w:rPr>
        <w:t>.</w:t>
      </w:r>
      <w:r w:rsidRPr="00FC4B45">
        <w:rPr>
          <w:sz w:val="20"/>
          <w:szCs w:val="20"/>
        </w:rPr>
        <w:t>, Beever D</w:t>
      </w:r>
      <w:r w:rsidR="009D68CA" w:rsidRPr="00FC4B45">
        <w:rPr>
          <w:sz w:val="20"/>
          <w:szCs w:val="20"/>
        </w:rPr>
        <w:t>.</w:t>
      </w:r>
      <w:r w:rsidRPr="00FC4B45">
        <w:rPr>
          <w:sz w:val="20"/>
          <w:szCs w:val="20"/>
        </w:rPr>
        <w:t>E</w:t>
      </w:r>
      <w:r w:rsidR="009D68CA" w:rsidRPr="00FC4B45">
        <w:rPr>
          <w:sz w:val="20"/>
          <w:szCs w:val="20"/>
        </w:rPr>
        <w:t>.</w:t>
      </w:r>
      <w:r w:rsidRPr="00FC4B45">
        <w:rPr>
          <w:sz w:val="20"/>
          <w:szCs w:val="20"/>
        </w:rPr>
        <w:t>, Reynolds C</w:t>
      </w:r>
      <w:r w:rsidR="009D68CA" w:rsidRPr="00FC4B45">
        <w:rPr>
          <w:sz w:val="20"/>
          <w:szCs w:val="20"/>
        </w:rPr>
        <w:t>.</w:t>
      </w:r>
      <w:r w:rsidRPr="00FC4B45">
        <w:rPr>
          <w:sz w:val="20"/>
          <w:szCs w:val="20"/>
        </w:rPr>
        <w:t>K</w:t>
      </w:r>
      <w:r w:rsidR="009D68CA" w:rsidRPr="00FC4B45">
        <w:rPr>
          <w:sz w:val="20"/>
          <w:szCs w:val="20"/>
        </w:rPr>
        <w:t>.</w:t>
      </w:r>
      <w:r w:rsidRPr="00FC4B45">
        <w:rPr>
          <w:sz w:val="20"/>
          <w:szCs w:val="20"/>
        </w:rPr>
        <w:t xml:space="preserve"> (2011)</w:t>
      </w:r>
      <w:r w:rsidR="009D68CA" w:rsidRPr="00FC4B45">
        <w:rPr>
          <w:sz w:val="20"/>
          <w:szCs w:val="20"/>
        </w:rPr>
        <w:t xml:space="preserve">. </w:t>
      </w:r>
      <w:r w:rsidRPr="00FC4B45">
        <w:rPr>
          <w:sz w:val="20"/>
          <w:szCs w:val="20"/>
        </w:rPr>
        <w:t>Effect of linseed oil and fish oil alone or as an equal mixture on ruminal fatty acid metabolism in growing steers fed maize silage-based diets. Journal of Animal Science</w:t>
      </w:r>
      <w:r w:rsidR="00811916" w:rsidRPr="00FC4B45">
        <w:rPr>
          <w:sz w:val="20"/>
          <w:szCs w:val="20"/>
        </w:rPr>
        <w:t>.</w:t>
      </w:r>
      <w:r w:rsidRPr="00FC4B45">
        <w:rPr>
          <w:sz w:val="20"/>
          <w:szCs w:val="20"/>
        </w:rPr>
        <w:t xml:space="preserve"> 89(11): 3728-3741.</w:t>
      </w:r>
      <w:bookmarkEnd w:id="46"/>
    </w:p>
    <w:p w14:paraId="5477B0EA" w14:textId="030F0186" w:rsidR="00E156FC" w:rsidRPr="00FC4B45" w:rsidRDefault="00E156FC" w:rsidP="00E156FC">
      <w:pPr>
        <w:pStyle w:val="EndNoteBibliography"/>
        <w:spacing w:before="60" w:after="0" w:line="240" w:lineRule="auto"/>
        <w:jc w:val="both"/>
        <w:rPr>
          <w:sz w:val="20"/>
          <w:szCs w:val="20"/>
        </w:rPr>
      </w:pPr>
      <w:bookmarkStart w:id="47" w:name="_ENREF_30"/>
      <w:r w:rsidRPr="00FC4B45">
        <w:rPr>
          <w:sz w:val="20"/>
          <w:szCs w:val="20"/>
        </w:rPr>
        <w:t>Soliva C</w:t>
      </w:r>
      <w:r w:rsidR="009D68CA" w:rsidRPr="00FC4B45">
        <w:rPr>
          <w:sz w:val="20"/>
          <w:szCs w:val="20"/>
        </w:rPr>
        <w:t>.</w:t>
      </w:r>
      <w:r w:rsidRPr="00FC4B45">
        <w:rPr>
          <w:sz w:val="20"/>
          <w:szCs w:val="20"/>
        </w:rPr>
        <w:t>R</w:t>
      </w:r>
      <w:r w:rsidR="009D68CA" w:rsidRPr="00FC4B45">
        <w:rPr>
          <w:sz w:val="20"/>
          <w:szCs w:val="20"/>
        </w:rPr>
        <w:t>.</w:t>
      </w:r>
      <w:r w:rsidRPr="00FC4B45">
        <w:rPr>
          <w:sz w:val="20"/>
          <w:szCs w:val="20"/>
        </w:rPr>
        <w:t>, Meile L</w:t>
      </w:r>
      <w:r w:rsidR="009D68CA" w:rsidRPr="00FC4B45">
        <w:rPr>
          <w:sz w:val="20"/>
          <w:szCs w:val="20"/>
        </w:rPr>
        <w:t>.</w:t>
      </w:r>
      <w:r w:rsidRPr="00FC4B45">
        <w:rPr>
          <w:sz w:val="20"/>
          <w:szCs w:val="20"/>
        </w:rPr>
        <w:t>, Cieślak A</w:t>
      </w:r>
      <w:r w:rsidR="009D68CA" w:rsidRPr="00FC4B45">
        <w:rPr>
          <w:sz w:val="20"/>
          <w:szCs w:val="20"/>
        </w:rPr>
        <w:t>.</w:t>
      </w:r>
      <w:r w:rsidRPr="00FC4B45">
        <w:rPr>
          <w:sz w:val="20"/>
          <w:szCs w:val="20"/>
        </w:rPr>
        <w:t>, Kreuzer M</w:t>
      </w:r>
      <w:r w:rsidR="009D68CA" w:rsidRPr="00FC4B45">
        <w:rPr>
          <w:sz w:val="20"/>
          <w:szCs w:val="20"/>
        </w:rPr>
        <w:t>.,</w:t>
      </w:r>
      <w:r w:rsidRPr="00FC4B45">
        <w:rPr>
          <w:sz w:val="20"/>
          <w:szCs w:val="20"/>
        </w:rPr>
        <w:t xml:space="preserve"> Machmüller A</w:t>
      </w:r>
      <w:r w:rsidR="009D68CA" w:rsidRPr="00FC4B45">
        <w:rPr>
          <w:sz w:val="20"/>
          <w:szCs w:val="20"/>
        </w:rPr>
        <w:t>.</w:t>
      </w:r>
      <w:r w:rsidRPr="00FC4B45">
        <w:rPr>
          <w:sz w:val="20"/>
          <w:szCs w:val="20"/>
        </w:rPr>
        <w:t xml:space="preserve"> (2004)</w:t>
      </w:r>
      <w:r w:rsidR="009D68CA" w:rsidRPr="00FC4B45">
        <w:rPr>
          <w:sz w:val="20"/>
          <w:szCs w:val="20"/>
        </w:rPr>
        <w:t>.</w:t>
      </w:r>
      <w:r w:rsidRPr="00FC4B45">
        <w:rPr>
          <w:sz w:val="20"/>
          <w:szCs w:val="20"/>
        </w:rPr>
        <w:t xml:space="preserve"> Rumen simulation technique study on the interactions of dietary lauric and myristic acid supplementation in suppressing ruminal methanogenesis. British Journal of Nutrition</w:t>
      </w:r>
      <w:r w:rsidR="00811916" w:rsidRPr="00FC4B45">
        <w:rPr>
          <w:sz w:val="20"/>
          <w:szCs w:val="20"/>
        </w:rPr>
        <w:t>.</w:t>
      </w:r>
      <w:r w:rsidRPr="00FC4B45">
        <w:rPr>
          <w:sz w:val="20"/>
          <w:szCs w:val="20"/>
        </w:rPr>
        <w:t xml:space="preserve"> 92(04): 689-700.</w:t>
      </w:r>
      <w:bookmarkEnd w:id="47"/>
    </w:p>
    <w:p w14:paraId="0ECADF59" w14:textId="7AA6B040" w:rsidR="00E156FC" w:rsidRPr="00FC4B45" w:rsidRDefault="00E156FC" w:rsidP="00E156FC">
      <w:pPr>
        <w:pStyle w:val="EndNoteBibliography"/>
        <w:spacing w:before="60" w:after="0" w:line="240" w:lineRule="auto"/>
        <w:jc w:val="both"/>
        <w:rPr>
          <w:sz w:val="20"/>
          <w:szCs w:val="20"/>
        </w:rPr>
      </w:pPr>
      <w:bookmarkStart w:id="48" w:name="_ENREF_31"/>
      <w:r w:rsidRPr="00FC4B45">
        <w:rPr>
          <w:sz w:val="20"/>
          <w:szCs w:val="20"/>
        </w:rPr>
        <w:t>Toral P</w:t>
      </w:r>
      <w:r w:rsidR="009D68CA" w:rsidRPr="00FC4B45">
        <w:rPr>
          <w:sz w:val="20"/>
          <w:szCs w:val="20"/>
        </w:rPr>
        <w:t>.</w:t>
      </w:r>
      <w:r w:rsidRPr="00FC4B45">
        <w:rPr>
          <w:sz w:val="20"/>
          <w:szCs w:val="20"/>
        </w:rPr>
        <w:t>G</w:t>
      </w:r>
      <w:r w:rsidR="009D68CA" w:rsidRPr="00FC4B45">
        <w:rPr>
          <w:sz w:val="20"/>
          <w:szCs w:val="20"/>
        </w:rPr>
        <w:t>.</w:t>
      </w:r>
      <w:r w:rsidRPr="00FC4B45">
        <w:rPr>
          <w:sz w:val="20"/>
          <w:szCs w:val="20"/>
        </w:rPr>
        <w:t>, Belenguer A</w:t>
      </w:r>
      <w:r w:rsidR="009D68CA" w:rsidRPr="00FC4B45">
        <w:rPr>
          <w:sz w:val="20"/>
          <w:szCs w:val="20"/>
        </w:rPr>
        <w:t>.</w:t>
      </w:r>
      <w:r w:rsidRPr="00FC4B45">
        <w:rPr>
          <w:sz w:val="20"/>
          <w:szCs w:val="20"/>
        </w:rPr>
        <w:t>, Frutos P</w:t>
      </w:r>
      <w:r w:rsidR="009D68CA" w:rsidRPr="00FC4B45">
        <w:rPr>
          <w:sz w:val="20"/>
          <w:szCs w:val="20"/>
        </w:rPr>
        <w:t>.</w:t>
      </w:r>
      <w:r w:rsidRPr="00FC4B45">
        <w:rPr>
          <w:sz w:val="20"/>
          <w:szCs w:val="20"/>
        </w:rPr>
        <w:t>, Hervás G</w:t>
      </w:r>
      <w:r w:rsidR="009D68CA" w:rsidRPr="00FC4B45">
        <w:rPr>
          <w:sz w:val="20"/>
          <w:szCs w:val="20"/>
        </w:rPr>
        <w:t>.</w:t>
      </w:r>
      <w:r w:rsidRPr="00FC4B45">
        <w:rPr>
          <w:sz w:val="20"/>
          <w:szCs w:val="20"/>
        </w:rPr>
        <w:t xml:space="preserve"> (2009). Effect of the supplementation of a high-concentrate diet with sunflower and fish oils on ruminal fermentation in sheep. Small Ruminant Research</w:t>
      </w:r>
      <w:r w:rsidR="00811916" w:rsidRPr="00FC4B45">
        <w:rPr>
          <w:sz w:val="20"/>
          <w:szCs w:val="20"/>
        </w:rPr>
        <w:t>.</w:t>
      </w:r>
      <w:r w:rsidRPr="00FC4B45">
        <w:rPr>
          <w:sz w:val="20"/>
          <w:szCs w:val="20"/>
        </w:rPr>
        <w:t xml:space="preserve"> 81(2-3): 119-125.</w:t>
      </w:r>
      <w:bookmarkEnd w:id="48"/>
    </w:p>
    <w:p w14:paraId="17E700BF" w14:textId="5859FD1E" w:rsidR="00E156FC" w:rsidRPr="00FC4B45" w:rsidRDefault="00E156FC" w:rsidP="00E156FC">
      <w:pPr>
        <w:pStyle w:val="EndNoteBibliography"/>
        <w:spacing w:before="60" w:after="0" w:line="240" w:lineRule="auto"/>
        <w:jc w:val="both"/>
        <w:rPr>
          <w:sz w:val="20"/>
          <w:szCs w:val="20"/>
        </w:rPr>
      </w:pPr>
      <w:bookmarkStart w:id="49" w:name="_ENREF_32"/>
      <w:r w:rsidRPr="00FC4B45">
        <w:rPr>
          <w:sz w:val="20"/>
          <w:szCs w:val="20"/>
        </w:rPr>
        <w:t>Vahmani P</w:t>
      </w:r>
      <w:r w:rsidR="009D68CA" w:rsidRPr="00FC4B45">
        <w:rPr>
          <w:sz w:val="20"/>
          <w:szCs w:val="20"/>
        </w:rPr>
        <w:t>.</w:t>
      </w:r>
      <w:r w:rsidRPr="00FC4B45">
        <w:rPr>
          <w:sz w:val="20"/>
          <w:szCs w:val="20"/>
        </w:rPr>
        <w:t>, Fredeen A</w:t>
      </w:r>
      <w:r w:rsidR="009D68CA" w:rsidRPr="00FC4B45">
        <w:rPr>
          <w:sz w:val="20"/>
          <w:szCs w:val="20"/>
        </w:rPr>
        <w:t>.</w:t>
      </w:r>
      <w:r w:rsidRPr="00FC4B45">
        <w:rPr>
          <w:sz w:val="20"/>
          <w:szCs w:val="20"/>
        </w:rPr>
        <w:t>H</w:t>
      </w:r>
      <w:r w:rsidR="009D68CA" w:rsidRPr="00FC4B45">
        <w:rPr>
          <w:sz w:val="20"/>
          <w:szCs w:val="20"/>
        </w:rPr>
        <w:t>.</w:t>
      </w:r>
      <w:r w:rsidRPr="00FC4B45">
        <w:rPr>
          <w:sz w:val="20"/>
          <w:szCs w:val="20"/>
        </w:rPr>
        <w:t>, Glover K</w:t>
      </w:r>
      <w:r w:rsidR="009D68CA" w:rsidRPr="00FC4B45">
        <w:rPr>
          <w:sz w:val="20"/>
          <w:szCs w:val="20"/>
        </w:rPr>
        <w:t>.</w:t>
      </w:r>
      <w:r w:rsidRPr="00FC4B45">
        <w:rPr>
          <w:sz w:val="20"/>
          <w:szCs w:val="20"/>
        </w:rPr>
        <w:t>E</w:t>
      </w:r>
      <w:r w:rsidR="009D68CA" w:rsidRPr="00FC4B45">
        <w:rPr>
          <w:sz w:val="20"/>
          <w:szCs w:val="20"/>
        </w:rPr>
        <w:t>.</w:t>
      </w:r>
      <w:r w:rsidRPr="00FC4B45">
        <w:rPr>
          <w:sz w:val="20"/>
          <w:szCs w:val="20"/>
        </w:rPr>
        <w:t xml:space="preserve"> (2013)</w:t>
      </w:r>
      <w:r w:rsidR="009D68CA" w:rsidRPr="00FC4B45">
        <w:rPr>
          <w:sz w:val="20"/>
          <w:szCs w:val="20"/>
        </w:rPr>
        <w:t>.</w:t>
      </w:r>
      <w:r w:rsidRPr="00FC4B45">
        <w:rPr>
          <w:sz w:val="20"/>
          <w:szCs w:val="20"/>
        </w:rPr>
        <w:t xml:space="preserve"> Effect of supplementation with fish oil or microalgae on fatty acid composition of milk from cows managed in confinement or pasture systems. Journal of Dairy Science</w:t>
      </w:r>
      <w:r w:rsidR="00811916" w:rsidRPr="00FC4B45">
        <w:rPr>
          <w:sz w:val="20"/>
          <w:szCs w:val="20"/>
        </w:rPr>
        <w:t>.</w:t>
      </w:r>
      <w:r w:rsidRPr="00FC4B45">
        <w:rPr>
          <w:sz w:val="20"/>
          <w:szCs w:val="20"/>
        </w:rPr>
        <w:t xml:space="preserve"> 96(10): 6660-6670.</w:t>
      </w:r>
      <w:bookmarkEnd w:id="49"/>
    </w:p>
    <w:p w14:paraId="141467B2" w14:textId="0D2CE769" w:rsidR="00E156FC" w:rsidRPr="00FC4B45" w:rsidRDefault="00E156FC" w:rsidP="00E156FC">
      <w:pPr>
        <w:pStyle w:val="EndNoteBibliography"/>
        <w:spacing w:before="60" w:after="0" w:line="240" w:lineRule="auto"/>
        <w:jc w:val="both"/>
        <w:rPr>
          <w:sz w:val="20"/>
          <w:szCs w:val="20"/>
        </w:rPr>
      </w:pPr>
      <w:bookmarkStart w:id="50" w:name="_ENREF_33"/>
      <w:r w:rsidRPr="00FC4B45">
        <w:rPr>
          <w:sz w:val="20"/>
          <w:szCs w:val="20"/>
        </w:rPr>
        <w:t>Van Soest P</w:t>
      </w:r>
      <w:r w:rsidR="009D68CA" w:rsidRPr="00FC4B45">
        <w:rPr>
          <w:sz w:val="20"/>
          <w:szCs w:val="20"/>
        </w:rPr>
        <w:t>.</w:t>
      </w:r>
      <w:r w:rsidRPr="00FC4B45">
        <w:rPr>
          <w:sz w:val="20"/>
          <w:szCs w:val="20"/>
        </w:rPr>
        <w:t>, Robertson J</w:t>
      </w:r>
      <w:r w:rsidR="009D68CA" w:rsidRPr="00FC4B45">
        <w:rPr>
          <w:sz w:val="20"/>
          <w:szCs w:val="20"/>
        </w:rPr>
        <w:t>.</w:t>
      </w:r>
      <w:r w:rsidRPr="00FC4B45">
        <w:rPr>
          <w:sz w:val="20"/>
          <w:szCs w:val="20"/>
        </w:rPr>
        <w:t>B</w:t>
      </w:r>
      <w:r w:rsidR="009D68CA" w:rsidRPr="00FC4B45">
        <w:rPr>
          <w:sz w:val="20"/>
          <w:szCs w:val="20"/>
        </w:rPr>
        <w:t>.</w:t>
      </w:r>
      <w:r w:rsidRPr="00FC4B45">
        <w:rPr>
          <w:sz w:val="20"/>
          <w:szCs w:val="20"/>
        </w:rPr>
        <w:t xml:space="preserve"> (1985)</w:t>
      </w:r>
      <w:r w:rsidR="009D68CA" w:rsidRPr="00FC4B45">
        <w:rPr>
          <w:sz w:val="20"/>
          <w:szCs w:val="20"/>
        </w:rPr>
        <w:t>.</w:t>
      </w:r>
      <w:r w:rsidRPr="00FC4B45">
        <w:rPr>
          <w:sz w:val="20"/>
          <w:szCs w:val="20"/>
        </w:rPr>
        <w:t xml:space="preserve"> A laboratory manual for animal science. Cornell University Press, Ithaca, NY.</w:t>
      </w:r>
      <w:bookmarkEnd w:id="50"/>
    </w:p>
    <w:p w14:paraId="6DDAD600" w14:textId="2B9898E1" w:rsidR="00E156FC" w:rsidRPr="00FC4B45" w:rsidRDefault="00E156FC" w:rsidP="00E156FC">
      <w:pPr>
        <w:pStyle w:val="EndNoteBibliography"/>
        <w:spacing w:before="60" w:after="0" w:line="240" w:lineRule="auto"/>
        <w:jc w:val="both"/>
        <w:rPr>
          <w:sz w:val="20"/>
          <w:szCs w:val="20"/>
        </w:rPr>
      </w:pPr>
      <w:bookmarkStart w:id="51" w:name="_ENREF_34"/>
      <w:r w:rsidRPr="00FC4B45">
        <w:rPr>
          <w:sz w:val="20"/>
          <w:szCs w:val="20"/>
        </w:rPr>
        <w:t>Van Soest P</w:t>
      </w:r>
      <w:r w:rsidR="009D68CA" w:rsidRPr="00FC4B45">
        <w:rPr>
          <w:sz w:val="20"/>
          <w:szCs w:val="20"/>
        </w:rPr>
        <w:t>.</w:t>
      </w:r>
      <w:r w:rsidRPr="00FC4B45">
        <w:rPr>
          <w:sz w:val="20"/>
          <w:szCs w:val="20"/>
        </w:rPr>
        <w:t>J</w:t>
      </w:r>
      <w:r w:rsidR="009D68CA" w:rsidRPr="00FC4B45">
        <w:rPr>
          <w:sz w:val="20"/>
          <w:szCs w:val="20"/>
        </w:rPr>
        <w:t>.</w:t>
      </w:r>
      <w:r w:rsidRPr="00FC4B45">
        <w:rPr>
          <w:sz w:val="20"/>
          <w:szCs w:val="20"/>
        </w:rPr>
        <w:t>, Robertson J</w:t>
      </w:r>
      <w:r w:rsidR="009D68CA" w:rsidRPr="00FC4B45">
        <w:rPr>
          <w:sz w:val="20"/>
          <w:szCs w:val="20"/>
        </w:rPr>
        <w:t>.</w:t>
      </w:r>
      <w:r w:rsidRPr="00FC4B45">
        <w:rPr>
          <w:sz w:val="20"/>
          <w:szCs w:val="20"/>
        </w:rPr>
        <w:t>B</w:t>
      </w:r>
      <w:r w:rsidR="009D68CA" w:rsidRPr="00FC4B45">
        <w:rPr>
          <w:sz w:val="20"/>
          <w:szCs w:val="20"/>
        </w:rPr>
        <w:t>.</w:t>
      </w:r>
      <w:r w:rsidRPr="00FC4B45">
        <w:rPr>
          <w:sz w:val="20"/>
          <w:szCs w:val="20"/>
        </w:rPr>
        <w:t>, Lewis B</w:t>
      </w:r>
      <w:r w:rsidR="009D68CA" w:rsidRPr="00FC4B45">
        <w:rPr>
          <w:sz w:val="20"/>
          <w:szCs w:val="20"/>
        </w:rPr>
        <w:t>.</w:t>
      </w:r>
      <w:r w:rsidRPr="00FC4B45">
        <w:rPr>
          <w:sz w:val="20"/>
          <w:szCs w:val="20"/>
        </w:rPr>
        <w:t>A</w:t>
      </w:r>
      <w:r w:rsidR="009D68CA" w:rsidRPr="00FC4B45">
        <w:rPr>
          <w:sz w:val="20"/>
          <w:szCs w:val="20"/>
        </w:rPr>
        <w:t>.</w:t>
      </w:r>
      <w:r w:rsidRPr="00FC4B45">
        <w:rPr>
          <w:sz w:val="20"/>
          <w:szCs w:val="20"/>
        </w:rPr>
        <w:t xml:space="preserve"> (1991)</w:t>
      </w:r>
      <w:r w:rsidR="009D68CA" w:rsidRPr="00FC4B45">
        <w:rPr>
          <w:sz w:val="20"/>
          <w:szCs w:val="20"/>
        </w:rPr>
        <w:t>.</w:t>
      </w:r>
      <w:r w:rsidRPr="00FC4B45">
        <w:rPr>
          <w:sz w:val="20"/>
          <w:szCs w:val="20"/>
        </w:rPr>
        <w:t xml:space="preserve"> Methods for dietary fiber, neutral detergent fiber, and nonstarch polysaccharides in relation to animal nutrition. Journal of Dairy Science</w:t>
      </w:r>
      <w:r w:rsidR="00811916" w:rsidRPr="00FC4B45">
        <w:rPr>
          <w:sz w:val="20"/>
          <w:szCs w:val="20"/>
        </w:rPr>
        <w:t>.</w:t>
      </w:r>
      <w:r w:rsidRPr="00FC4B45">
        <w:rPr>
          <w:sz w:val="20"/>
          <w:szCs w:val="20"/>
        </w:rPr>
        <w:t xml:space="preserve"> 74(10): 3583-3597.</w:t>
      </w:r>
      <w:bookmarkEnd w:id="51"/>
    </w:p>
    <w:p w14:paraId="19E782EF" w14:textId="1C94FEDA" w:rsidR="00A422AD" w:rsidRPr="00FC4B45" w:rsidRDefault="00E156FC" w:rsidP="00E156FC">
      <w:pPr>
        <w:spacing w:line="259" w:lineRule="auto"/>
        <w:jc w:val="left"/>
        <w:rPr>
          <w:rFonts w:cs="Times New Roman"/>
          <w:sz w:val="24"/>
          <w:szCs w:val="24"/>
        </w:rPr>
      </w:pPr>
      <w:bookmarkStart w:id="52" w:name="_ENREF_35"/>
      <w:r w:rsidRPr="00FC4B45">
        <w:rPr>
          <w:rFonts w:cs="Times New Roman"/>
          <w:sz w:val="20"/>
          <w:szCs w:val="20"/>
        </w:rPr>
        <w:t>Yang S</w:t>
      </w:r>
      <w:r w:rsidR="009D68CA" w:rsidRPr="00FC4B45">
        <w:rPr>
          <w:rFonts w:cs="Times New Roman"/>
          <w:sz w:val="20"/>
          <w:szCs w:val="20"/>
        </w:rPr>
        <w:t>.</w:t>
      </w:r>
      <w:r w:rsidRPr="00FC4B45">
        <w:rPr>
          <w:rFonts w:cs="Times New Roman"/>
          <w:sz w:val="20"/>
          <w:szCs w:val="20"/>
        </w:rPr>
        <w:t>L</w:t>
      </w:r>
      <w:r w:rsidR="009D68CA" w:rsidRPr="00FC4B45">
        <w:rPr>
          <w:rFonts w:cs="Times New Roman"/>
          <w:sz w:val="20"/>
          <w:szCs w:val="20"/>
        </w:rPr>
        <w:t>.</w:t>
      </w:r>
      <w:r w:rsidRPr="00FC4B45">
        <w:rPr>
          <w:rFonts w:cs="Times New Roman"/>
          <w:sz w:val="20"/>
          <w:szCs w:val="20"/>
        </w:rPr>
        <w:t>, Bu D</w:t>
      </w:r>
      <w:r w:rsidR="009D68CA" w:rsidRPr="00FC4B45">
        <w:rPr>
          <w:rFonts w:cs="Times New Roman"/>
          <w:sz w:val="20"/>
          <w:szCs w:val="20"/>
        </w:rPr>
        <w:t>.</w:t>
      </w:r>
      <w:r w:rsidRPr="00FC4B45">
        <w:rPr>
          <w:rFonts w:cs="Times New Roman"/>
          <w:sz w:val="20"/>
          <w:szCs w:val="20"/>
        </w:rPr>
        <w:t>P</w:t>
      </w:r>
      <w:r w:rsidR="009D68CA" w:rsidRPr="00FC4B45">
        <w:rPr>
          <w:rFonts w:cs="Times New Roman"/>
          <w:sz w:val="20"/>
          <w:szCs w:val="20"/>
        </w:rPr>
        <w:t>.</w:t>
      </w:r>
      <w:r w:rsidRPr="00FC4B45">
        <w:rPr>
          <w:rFonts w:cs="Times New Roman"/>
          <w:sz w:val="20"/>
          <w:szCs w:val="20"/>
        </w:rPr>
        <w:t>, Wang J</w:t>
      </w:r>
      <w:r w:rsidR="009D68CA" w:rsidRPr="00FC4B45">
        <w:rPr>
          <w:rFonts w:cs="Times New Roman"/>
          <w:sz w:val="20"/>
          <w:szCs w:val="20"/>
        </w:rPr>
        <w:t>.</w:t>
      </w:r>
      <w:r w:rsidRPr="00FC4B45">
        <w:rPr>
          <w:rFonts w:cs="Times New Roman"/>
          <w:sz w:val="20"/>
          <w:szCs w:val="20"/>
        </w:rPr>
        <w:t>Q</w:t>
      </w:r>
      <w:r w:rsidR="009D68CA" w:rsidRPr="00FC4B45">
        <w:rPr>
          <w:rFonts w:cs="Times New Roman"/>
          <w:sz w:val="20"/>
          <w:szCs w:val="20"/>
        </w:rPr>
        <w:t>.</w:t>
      </w:r>
      <w:r w:rsidRPr="00FC4B45">
        <w:rPr>
          <w:rFonts w:cs="Times New Roman"/>
          <w:sz w:val="20"/>
          <w:szCs w:val="20"/>
        </w:rPr>
        <w:t>, Hu Z</w:t>
      </w:r>
      <w:r w:rsidR="009D68CA" w:rsidRPr="00FC4B45">
        <w:rPr>
          <w:rFonts w:cs="Times New Roman"/>
          <w:sz w:val="20"/>
          <w:szCs w:val="20"/>
        </w:rPr>
        <w:t>.</w:t>
      </w:r>
      <w:r w:rsidRPr="00FC4B45">
        <w:rPr>
          <w:rFonts w:cs="Times New Roman"/>
          <w:sz w:val="20"/>
          <w:szCs w:val="20"/>
        </w:rPr>
        <w:t>Y</w:t>
      </w:r>
      <w:r w:rsidR="009D68CA" w:rsidRPr="00FC4B45">
        <w:rPr>
          <w:rFonts w:cs="Times New Roman"/>
          <w:sz w:val="20"/>
          <w:szCs w:val="20"/>
        </w:rPr>
        <w:t>.</w:t>
      </w:r>
      <w:r w:rsidRPr="00FC4B45">
        <w:rPr>
          <w:rFonts w:cs="Times New Roman"/>
          <w:sz w:val="20"/>
          <w:szCs w:val="20"/>
        </w:rPr>
        <w:t>, Li D</w:t>
      </w:r>
      <w:r w:rsidR="009D68CA" w:rsidRPr="00FC4B45">
        <w:rPr>
          <w:rFonts w:cs="Times New Roman"/>
          <w:sz w:val="20"/>
          <w:szCs w:val="20"/>
        </w:rPr>
        <w:t>.</w:t>
      </w:r>
      <w:r w:rsidRPr="00FC4B45">
        <w:rPr>
          <w:rFonts w:cs="Times New Roman"/>
          <w:sz w:val="20"/>
          <w:szCs w:val="20"/>
        </w:rPr>
        <w:t>, Wei H</w:t>
      </w:r>
      <w:r w:rsidR="009D68CA" w:rsidRPr="00FC4B45">
        <w:rPr>
          <w:rFonts w:cs="Times New Roman"/>
          <w:sz w:val="20"/>
          <w:szCs w:val="20"/>
        </w:rPr>
        <w:t>.</w:t>
      </w:r>
      <w:r w:rsidRPr="00FC4B45">
        <w:rPr>
          <w:rFonts w:cs="Times New Roman"/>
          <w:sz w:val="20"/>
          <w:szCs w:val="20"/>
        </w:rPr>
        <w:t>Y</w:t>
      </w:r>
      <w:r w:rsidR="009D68CA" w:rsidRPr="00FC4B45">
        <w:rPr>
          <w:rFonts w:cs="Times New Roman"/>
          <w:sz w:val="20"/>
          <w:szCs w:val="20"/>
        </w:rPr>
        <w:t>.</w:t>
      </w:r>
      <w:r w:rsidRPr="00FC4B45">
        <w:rPr>
          <w:rFonts w:cs="Times New Roman"/>
          <w:sz w:val="20"/>
          <w:szCs w:val="20"/>
        </w:rPr>
        <w:t>, Zhou L</w:t>
      </w:r>
      <w:r w:rsidR="009D68CA" w:rsidRPr="00FC4B45">
        <w:rPr>
          <w:rFonts w:cs="Times New Roman"/>
          <w:sz w:val="20"/>
          <w:szCs w:val="20"/>
        </w:rPr>
        <w:t>.</w:t>
      </w:r>
      <w:r w:rsidRPr="00FC4B45">
        <w:rPr>
          <w:rFonts w:cs="Times New Roman"/>
          <w:sz w:val="20"/>
          <w:szCs w:val="20"/>
        </w:rPr>
        <w:t>Y</w:t>
      </w:r>
      <w:r w:rsidR="009D68CA" w:rsidRPr="00FC4B45">
        <w:rPr>
          <w:rFonts w:cs="Times New Roman"/>
          <w:sz w:val="20"/>
          <w:szCs w:val="20"/>
        </w:rPr>
        <w:t>.</w:t>
      </w:r>
      <w:r w:rsidRPr="00FC4B45">
        <w:rPr>
          <w:rFonts w:cs="Times New Roman"/>
          <w:sz w:val="20"/>
          <w:szCs w:val="20"/>
        </w:rPr>
        <w:t>, Loor J</w:t>
      </w:r>
      <w:r w:rsidR="009D68CA" w:rsidRPr="00FC4B45">
        <w:rPr>
          <w:rFonts w:cs="Times New Roman"/>
          <w:sz w:val="20"/>
          <w:szCs w:val="20"/>
        </w:rPr>
        <w:t>.</w:t>
      </w:r>
      <w:r w:rsidRPr="00FC4B45">
        <w:rPr>
          <w:rFonts w:cs="Times New Roman"/>
          <w:sz w:val="20"/>
          <w:szCs w:val="20"/>
        </w:rPr>
        <w:t>J</w:t>
      </w:r>
      <w:r w:rsidR="009D68CA" w:rsidRPr="00FC4B45">
        <w:rPr>
          <w:rFonts w:cs="Times New Roman"/>
          <w:sz w:val="20"/>
          <w:szCs w:val="20"/>
        </w:rPr>
        <w:t>.</w:t>
      </w:r>
      <w:r w:rsidRPr="00FC4B45">
        <w:rPr>
          <w:rFonts w:cs="Times New Roman"/>
          <w:sz w:val="20"/>
          <w:szCs w:val="20"/>
        </w:rPr>
        <w:t xml:space="preserve"> (2009). Soybean oil and linseed oil supplementation affect profiles of ruminal microorganisms in dairy cows. Animal</w:t>
      </w:r>
      <w:r w:rsidR="00811916" w:rsidRPr="00FC4B45">
        <w:rPr>
          <w:rFonts w:cs="Times New Roman"/>
          <w:sz w:val="20"/>
          <w:szCs w:val="20"/>
        </w:rPr>
        <w:t>.</w:t>
      </w:r>
      <w:r w:rsidRPr="00FC4B45">
        <w:rPr>
          <w:rFonts w:cs="Times New Roman"/>
          <w:sz w:val="20"/>
          <w:szCs w:val="20"/>
        </w:rPr>
        <w:t xml:space="preserve"> 3(11): 1562-1569.</w:t>
      </w:r>
      <w:bookmarkEnd w:id="52"/>
    </w:p>
    <w:sectPr w:rsidR="00A422AD" w:rsidRPr="00FC4B45" w:rsidSect="00A422AD">
      <w:headerReference w:type="default" r:id="rId8"/>
      <w:pgSz w:w="11907" w:h="16840" w:code="9"/>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DF7EB" w14:textId="77777777" w:rsidR="009A6DD2" w:rsidRDefault="009A6DD2" w:rsidP="00A97745">
      <w:pPr>
        <w:spacing w:after="0" w:line="240" w:lineRule="auto"/>
      </w:pPr>
      <w:r>
        <w:separator/>
      </w:r>
    </w:p>
  </w:endnote>
  <w:endnote w:type="continuationSeparator" w:id="0">
    <w:p w14:paraId="7162E42E" w14:textId="77777777" w:rsidR="009A6DD2" w:rsidRDefault="009A6DD2" w:rsidP="00A9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B7726" w14:textId="77777777" w:rsidR="009A6DD2" w:rsidRDefault="009A6DD2" w:rsidP="00A97745">
      <w:pPr>
        <w:spacing w:after="0" w:line="240" w:lineRule="auto"/>
      </w:pPr>
      <w:r>
        <w:separator/>
      </w:r>
    </w:p>
  </w:footnote>
  <w:footnote w:type="continuationSeparator" w:id="0">
    <w:p w14:paraId="3AE3D906" w14:textId="77777777" w:rsidR="009A6DD2" w:rsidRDefault="009A6DD2" w:rsidP="00A97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1520E" w14:textId="05A62E6F" w:rsidR="00F47F12" w:rsidRDefault="00F47F12" w:rsidP="008110A5">
    <w:pPr>
      <w:pStyle w:val="Header"/>
      <w:jc w:val="right"/>
    </w:pPr>
    <w:r>
      <w:rPr>
        <w:noProof/>
      </w:rPr>
      <w:drawing>
        <wp:anchor distT="0" distB="0" distL="114300" distR="114300" simplePos="0" relativeHeight="251659264" behindDoc="0" locked="0" layoutInCell="1" allowOverlap="1" wp14:anchorId="43E6F091" wp14:editId="5CBA9FE9">
          <wp:simplePos x="0" y="0"/>
          <wp:positionH relativeFrom="margin">
            <wp:align>left</wp:align>
          </wp:positionH>
          <wp:positionV relativeFrom="paragraph">
            <wp:posOffset>5715</wp:posOffset>
          </wp:positionV>
          <wp:extent cx="806450" cy="619125"/>
          <wp:effectExtent l="0" t="0" r="0" b="9525"/>
          <wp:wrapThrough wrapText="bothSides">
            <wp:wrapPolygon edited="0">
              <wp:start x="5613" y="0"/>
              <wp:lineTo x="0" y="3323"/>
              <wp:lineTo x="0" y="19938"/>
              <wp:lineTo x="7143" y="21268"/>
              <wp:lineTo x="13776" y="21268"/>
              <wp:lineTo x="20920" y="19938"/>
              <wp:lineTo x="20920" y="3323"/>
              <wp:lineTo x="15307" y="0"/>
              <wp:lineTo x="5613"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b="19690"/>
                  <a:stretch/>
                </pic:blipFill>
                <pic:spPr bwMode="auto">
                  <a:xfrm>
                    <a:off x="0" y="0"/>
                    <a:ext cx="8064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110A5">
      <w:ptab w:relativeTo="margin" w:alignment="center" w:leader="none"/>
    </w:r>
    <w:r w:rsidRPr="008110A5">
      <w:ptab w:relativeTo="margin" w:alignment="right" w:leader="none"/>
    </w:r>
  </w:p>
  <w:p w14:paraId="057817F2" w14:textId="3CA9379C" w:rsidR="00F47F12" w:rsidRPr="008110A5" w:rsidRDefault="00F47F12" w:rsidP="008110A5">
    <w:pPr>
      <w:pStyle w:val="Header"/>
      <w:jc w:val="right"/>
      <w:rPr>
        <w:b/>
        <w:bCs/>
        <w:sz w:val="24"/>
        <w:szCs w:val="20"/>
      </w:rPr>
    </w:pPr>
    <w:r w:rsidRPr="008110A5">
      <w:rPr>
        <w:b/>
        <w:bCs/>
        <w:sz w:val="24"/>
        <w:szCs w:val="20"/>
      </w:rPr>
      <w:t xml:space="preserve">International Food Animal Conference </w:t>
    </w:r>
  </w:p>
  <w:p w14:paraId="4D319B8D" w14:textId="5EA557BF" w:rsidR="00F47F12" w:rsidRDefault="00F47F12" w:rsidP="008110A5">
    <w:pPr>
      <w:pStyle w:val="Header"/>
      <w:jc w:val="right"/>
    </w:pPr>
    <w:r w:rsidRPr="008110A5">
      <w:rPr>
        <w:b/>
        <w:bCs/>
        <w:noProof/>
        <w:sz w:val="24"/>
        <w:szCs w:val="20"/>
      </w:rPr>
      <mc:AlternateContent>
        <mc:Choice Requires="wps">
          <w:drawing>
            <wp:anchor distT="0" distB="0" distL="114300" distR="114300" simplePos="0" relativeHeight="251660288" behindDoc="0" locked="0" layoutInCell="1" allowOverlap="1" wp14:anchorId="7952E04D" wp14:editId="3390F001">
              <wp:simplePos x="0" y="0"/>
              <wp:positionH relativeFrom="margin">
                <wp:align>center</wp:align>
              </wp:positionH>
              <wp:positionV relativeFrom="paragraph">
                <wp:posOffset>321945</wp:posOffset>
              </wp:positionV>
              <wp:extent cx="568642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686425"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78752CB6" id="Straight Connector 2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5.35pt" to="447.7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" strokecolor="#bfbfbf [2412]" strokeweight="1pt">
              <v:stroke joinstyle="miter"/>
              <w10:wrap anchorx="margin"/>
            </v:line>
          </w:pict>
        </mc:Fallback>
      </mc:AlternateContent>
    </w:r>
    <w:r w:rsidRPr="008110A5">
      <w:rPr>
        <w:b/>
        <w:bCs/>
        <w:sz w:val="24"/>
        <w:szCs w:val="20"/>
      </w:rPr>
      <w:t>Can Tho University</w:t>
    </w:r>
    <w:r>
      <w:rPr>
        <w:b/>
        <w:bCs/>
        <w:sz w:val="24"/>
        <w:szCs w:val="20"/>
      </w:rPr>
      <w:t>,</w:t>
    </w:r>
    <w:r w:rsidRPr="008110A5">
      <w:rPr>
        <w:b/>
        <w:bCs/>
        <w:sz w:val="24"/>
        <w:szCs w:val="20"/>
      </w:rPr>
      <w:t xml:space="preserve"> </w:t>
    </w:r>
    <w:r>
      <w:rPr>
        <w:b/>
        <w:bCs/>
        <w:sz w:val="24"/>
        <w:szCs w:val="20"/>
      </w:rPr>
      <w:t xml:space="preserve">30 Aug 2023 – 01 Sep </w:t>
    </w:r>
    <w:r w:rsidRPr="008110A5">
      <w:rPr>
        <w:b/>
        <w:bCs/>
        <w:sz w:val="24"/>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47428"/>
    <w:multiLevelType w:val="hybridMultilevel"/>
    <w:tmpl w:val="6E44B4AC"/>
    <w:lvl w:ilvl="0" w:tplc="DD28F8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7012D"/>
    <w:multiLevelType w:val="hybridMultilevel"/>
    <w:tmpl w:val="906C0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4D"/>
    <w:rsid w:val="00003873"/>
    <w:rsid w:val="000071FC"/>
    <w:rsid w:val="0002364B"/>
    <w:rsid w:val="00046A40"/>
    <w:rsid w:val="0005721C"/>
    <w:rsid w:val="00091D75"/>
    <w:rsid w:val="000C5B22"/>
    <w:rsid w:val="000D25BF"/>
    <w:rsid w:val="000D6841"/>
    <w:rsid w:val="0010290E"/>
    <w:rsid w:val="0012559E"/>
    <w:rsid w:val="00126277"/>
    <w:rsid w:val="0012678B"/>
    <w:rsid w:val="00131352"/>
    <w:rsid w:val="00156CA5"/>
    <w:rsid w:val="0016403F"/>
    <w:rsid w:val="00166142"/>
    <w:rsid w:val="00181030"/>
    <w:rsid w:val="001842A5"/>
    <w:rsid w:val="001860BB"/>
    <w:rsid w:val="001951E5"/>
    <w:rsid w:val="001B34D0"/>
    <w:rsid w:val="001B61DD"/>
    <w:rsid w:val="001D20D3"/>
    <w:rsid w:val="001E1356"/>
    <w:rsid w:val="001F5A31"/>
    <w:rsid w:val="001F75A0"/>
    <w:rsid w:val="00211503"/>
    <w:rsid w:val="00212172"/>
    <w:rsid w:val="0022238E"/>
    <w:rsid w:val="00234399"/>
    <w:rsid w:val="002375B4"/>
    <w:rsid w:val="00250341"/>
    <w:rsid w:val="0026705E"/>
    <w:rsid w:val="002C2A9A"/>
    <w:rsid w:val="002C68C4"/>
    <w:rsid w:val="002D23EC"/>
    <w:rsid w:val="00300CA1"/>
    <w:rsid w:val="003118BB"/>
    <w:rsid w:val="00314FD3"/>
    <w:rsid w:val="00316497"/>
    <w:rsid w:val="0031776A"/>
    <w:rsid w:val="00335827"/>
    <w:rsid w:val="003429D0"/>
    <w:rsid w:val="00343E87"/>
    <w:rsid w:val="0034482D"/>
    <w:rsid w:val="003717E6"/>
    <w:rsid w:val="003821E2"/>
    <w:rsid w:val="00387E2A"/>
    <w:rsid w:val="00392D9A"/>
    <w:rsid w:val="003A0D9B"/>
    <w:rsid w:val="003B39C3"/>
    <w:rsid w:val="003B4486"/>
    <w:rsid w:val="003C3D0E"/>
    <w:rsid w:val="003D2917"/>
    <w:rsid w:val="003D4E07"/>
    <w:rsid w:val="003F0158"/>
    <w:rsid w:val="00404B75"/>
    <w:rsid w:val="00406FBD"/>
    <w:rsid w:val="00435E6B"/>
    <w:rsid w:val="0044522F"/>
    <w:rsid w:val="00455108"/>
    <w:rsid w:val="00460830"/>
    <w:rsid w:val="00461B60"/>
    <w:rsid w:val="0047410C"/>
    <w:rsid w:val="00482D4C"/>
    <w:rsid w:val="004A39D3"/>
    <w:rsid w:val="004A66C1"/>
    <w:rsid w:val="004C14D0"/>
    <w:rsid w:val="004D356C"/>
    <w:rsid w:val="00521AC5"/>
    <w:rsid w:val="0052324B"/>
    <w:rsid w:val="00540D98"/>
    <w:rsid w:val="005429B5"/>
    <w:rsid w:val="00546CDC"/>
    <w:rsid w:val="00556AA8"/>
    <w:rsid w:val="005626C1"/>
    <w:rsid w:val="0059599F"/>
    <w:rsid w:val="00597AF3"/>
    <w:rsid w:val="005B3DD2"/>
    <w:rsid w:val="005C1C56"/>
    <w:rsid w:val="005C4020"/>
    <w:rsid w:val="005C65FF"/>
    <w:rsid w:val="005D0A8D"/>
    <w:rsid w:val="005D2BEE"/>
    <w:rsid w:val="005F00E7"/>
    <w:rsid w:val="005F1752"/>
    <w:rsid w:val="006124DE"/>
    <w:rsid w:val="00652E41"/>
    <w:rsid w:val="00692602"/>
    <w:rsid w:val="006A64E7"/>
    <w:rsid w:val="00702271"/>
    <w:rsid w:val="00716C99"/>
    <w:rsid w:val="00716F1E"/>
    <w:rsid w:val="007524C7"/>
    <w:rsid w:val="00760709"/>
    <w:rsid w:val="00797139"/>
    <w:rsid w:val="007A4D58"/>
    <w:rsid w:val="007C1FD9"/>
    <w:rsid w:val="007C4B75"/>
    <w:rsid w:val="007C688A"/>
    <w:rsid w:val="007D424A"/>
    <w:rsid w:val="007D5D82"/>
    <w:rsid w:val="007F0483"/>
    <w:rsid w:val="008023CE"/>
    <w:rsid w:val="0080487F"/>
    <w:rsid w:val="00811029"/>
    <w:rsid w:val="008110A5"/>
    <w:rsid w:val="00811916"/>
    <w:rsid w:val="00825427"/>
    <w:rsid w:val="00827E70"/>
    <w:rsid w:val="00853133"/>
    <w:rsid w:val="008660B2"/>
    <w:rsid w:val="008719B8"/>
    <w:rsid w:val="00880C62"/>
    <w:rsid w:val="008A44A1"/>
    <w:rsid w:val="008B7F81"/>
    <w:rsid w:val="008D23D3"/>
    <w:rsid w:val="008F255B"/>
    <w:rsid w:val="008F7A30"/>
    <w:rsid w:val="00901EDF"/>
    <w:rsid w:val="00907AFE"/>
    <w:rsid w:val="00920087"/>
    <w:rsid w:val="0092539C"/>
    <w:rsid w:val="00957EAB"/>
    <w:rsid w:val="009663DF"/>
    <w:rsid w:val="009A0204"/>
    <w:rsid w:val="009A54F7"/>
    <w:rsid w:val="009A6DD2"/>
    <w:rsid w:val="009B3D16"/>
    <w:rsid w:val="009B51F8"/>
    <w:rsid w:val="009C4097"/>
    <w:rsid w:val="009D0BA1"/>
    <w:rsid w:val="009D68CA"/>
    <w:rsid w:val="009F0969"/>
    <w:rsid w:val="00A06B30"/>
    <w:rsid w:val="00A070AD"/>
    <w:rsid w:val="00A24C94"/>
    <w:rsid w:val="00A35934"/>
    <w:rsid w:val="00A41254"/>
    <w:rsid w:val="00A422AD"/>
    <w:rsid w:val="00A6117F"/>
    <w:rsid w:val="00A72AEE"/>
    <w:rsid w:val="00A77178"/>
    <w:rsid w:val="00A924ED"/>
    <w:rsid w:val="00A97745"/>
    <w:rsid w:val="00AF1D27"/>
    <w:rsid w:val="00B16E35"/>
    <w:rsid w:val="00B22DC4"/>
    <w:rsid w:val="00B26CD6"/>
    <w:rsid w:val="00B33221"/>
    <w:rsid w:val="00B3568C"/>
    <w:rsid w:val="00B55A77"/>
    <w:rsid w:val="00B602FD"/>
    <w:rsid w:val="00B73815"/>
    <w:rsid w:val="00B776DD"/>
    <w:rsid w:val="00BB05FA"/>
    <w:rsid w:val="00BC5A2E"/>
    <w:rsid w:val="00BE415F"/>
    <w:rsid w:val="00BF47C2"/>
    <w:rsid w:val="00C11D12"/>
    <w:rsid w:val="00C1364A"/>
    <w:rsid w:val="00C2515A"/>
    <w:rsid w:val="00C3401A"/>
    <w:rsid w:val="00C37E5F"/>
    <w:rsid w:val="00C52171"/>
    <w:rsid w:val="00C64A3E"/>
    <w:rsid w:val="00C76A70"/>
    <w:rsid w:val="00C832E0"/>
    <w:rsid w:val="00CA3423"/>
    <w:rsid w:val="00CB1488"/>
    <w:rsid w:val="00CB2FB1"/>
    <w:rsid w:val="00CF7BEE"/>
    <w:rsid w:val="00D1553A"/>
    <w:rsid w:val="00D16445"/>
    <w:rsid w:val="00D220C8"/>
    <w:rsid w:val="00D24B98"/>
    <w:rsid w:val="00D30F5E"/>
    <w:rsid w:val="00D72596"/>
    <w:rsid w:val="00D871C9"/>
    <w:rsid w:val="00D87CF1"/>
    <w:rsid w:val="00DB5C0B"/>
    <w:rsid w:val="00DB79A9"/>
    <w:rsid w:val="00DC3525"/>
    <w:rsid w:val="00DC6EB4"/>
    <w:rsid w:val="00DE399A"/>
    <w:rsid w:val="00DE4F88"/>
    <w:rsid w:val="00E01D5C"/>
    <w:rsid w:val="00E05725"/>
    <w:rsid w:val="00E1511F"/>
    <w:rsid w:val="00E156FC"/>
    <w:rsid w:val="00E23479"/>
    <w:rsid w:val="00E33E7B"/>
    <w:rsid w:val="00E45A54"/>
    <w:rsid w:val="00E45F7D"/>
    <w:rsid w:val="00E50E03"/>
    <w:rsid w:val="00E548AA"/>
    <w:rsid w:val="00E6094D"/>
    <w:rsid w:val="00E65476"/>
    <w:rsid w:val="00E93CBD"/>
    <w:rsid w:val="00EB4BAC"/>
    <w:rsid w:val="00EB5BA0"/>
    <w:rsid w:val="00ED50D0"/>
    <w:rsid w:val="00F07F3E"/>
    <w:rsid w:val="00F33727"/>
    <w:rsid w:val="00F34F0C"/>
    <w:rsid w:val="00F35E17"/>
    <w:rsid w:val="00F421E3"/>
    <w:rsid w:val="00F4446F"/>
    <w:rsid w:val="00F47F12"/>
    <w:rsid w:val="00F61901"/>
    <w:rsid w:val="00F62AF6"/>
    <w:rsid w:val="00F64904"/>
    <w:rsid w:val="00F85443"/>
    <w:rsid w:val="00FA3162"/>
    <w:rsid w:val="00FA5819"/>
    <w:rsid w:val="00FB34F5"/>
    <w:rsid w:val="00FC4B45"/>
    <w:rsid w:val="00FE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A501F"/>
  <w15:chartTrackingRefBased/>
  <w15:docId w15:val="{EC156EC0-6482-404C-9CB0-242B5C5B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5429B5"/>
    <w:pPr>
      <w:keepNext/>
      <w:keepLines/>
      <w:spacing w:before="120" w:after="0" w:line="240" w:lineRule="auto"/>
      <w:contextualSpacing/>
      <w:jc w:val="left"/>
      <w:outlineLvl w:val="1"/>
    </w:pPr>
    <w:rPr>
      <w:rFonts w:eastAsiaTheme="majorEastAsia" w:cs="Times New Roman"/>
      <w:b/>
      <w:bCs/>
      <w:sz w:val="22"/>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5429B5"/>
    <w:rPr>
      <w:rFonts w:ascii="Times New Roman" w:eastAsiaTheme="majorEastAsia" w:hAnsi="Times New Roman" w:cs="Times New Roman"/>
      <w:b/>
      <w:bCs/>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character" w:styleId="Hyperlink">
    <w:name w:val="Hyperlink"/>
    <w:basedOn w:val="DefaultParagraphFont"/>
    <w:uiPriority w:val="99"/>
    <w:unhideWhenUsed/>
    <w:rsid w:val="00BE415F"/>
    <w:rPr>
      <w:color w:val="0563C1" w:themeColor="hyperlink"/>
      <w:u w:val="single"/>
    </w:rPr>
  </w:style>
  <w:style w:type="character" w:customStyle="1" w:styleId="UnresolvedMention1">
    <w:name w:val="Unresolved Mention1"/>
    <w:basedOn w:val="DefaultParagraphFont"/>
    <w:uiPriority w:val="99"/>
    <w:semiHidden/>
    <w:unhideWhenUsed/>
    <w:rsid w:val="00BE415F"/>
    <w:rPr>
      <w:color w:val="605E5C"/>
      <w:shd w:val="clear" w:color="auto" w:fill="E1DFDD"/>
    </w:rPr>
  </w:style>
  <w:style w:type="character" w:styleId="CommentReference">
    <w:name w:val="annotation reference"/>
    <w:basedOn w:val="DefaultParagraphFont"/>
    <w:uiPriority w:val="99"/>
    <w:semiHidden/>
    <w:unhideWhenUsed/>
    <w:rsid w:val="00D220C8"/>
    <w:rPr>
      <w:sz w:val="16"/>
      <w:szCs w:val="16"/>
    </w:rPr>
  </w:style>
  <w:style w:type="paragraph" w:styleId="CommentText">
    <w:name w:val="annotation text"/>
    <w:basedOn w:val="Normal"/>
    <w:link w:val="CommentTextChar"/>
    <w:uiPriority w:val="99"/>
    <w:semiHidden/>
    <w:unhideWhenUsed/>
    <w:rsid w:val="00D220C8"/>
    <w:pPr>
      <w:spacing w:line="240" w:lineRule="auto"/>
    </w:pPr>
    <w:rPr>
      <w:sz w:val="20"/>
      <w:szCs w:val="20"/>
    </w:rPr>
  </w:style>
  <w:style w:type="character" w:customStyle="1" w:styleId="CommentTextChar">
    <w:name w:val="Comment Text Char"/>
    <w:basedOn w:val="DefaultParagraphFont"/>
    <w:link w:val="CommentText"/>
    <w:uiPriority w:val="99"/>
    <w:semiHidden/>
    <w:rsid w:val="00D220C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220C8"/>
    <w:rPr>
      <w:b/>
      <w:bCs/>
    </w:rPr>
  </w:style>
  <w:style w:type="character" w:customStyle="1" w:styleId="CommentSubjectChar">
    <w:name w:val="Comment Subject Char"/>
    <w:basedOn w:val="CommentTextChar"/>
    <w:link w:val="CommentSubject"/>
    <w:uiPriority w:val="99"/>
    <w:semiHidden/>
    <w:rsid w:val="00D220C8"/>
    <w:rPr>
      <w:rFonts w:ascii="Times New Roman" w:hAnsi="Times New Roman"/>
      <w:b/>
      <w:bCs/>
      <w:sz w:val="20"/>
      <w:szCs w:val="20"/>
    </w:rPr>
  </w:style>
  <w:style w:type="paragraph" w:styleId="BalloonText">
    <w:name w:val="Balloon Text"/>
    <w:basedOn w:val="Normal"/>
    <w:link w:val="BalloonTextChar"/>
    <w:uiPriority w:val="99"/>
    <w:semiHidden/>
    <w:unhideWhenUsed/>
    <w:rsid w:val="00D22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C8"/>
    <w:rPr>
      <w:rFonts w:ascii="Segoe UI" w:hAnsi="Segoe UI" w:cs="Segoe UI"/>
      <w:sz w:val="18"/>
      <w:szCs w:val="18"/>
    </w:rPr>
  </w:style>
  <w:style w:type="paragraph" w:styleId="ListParagraph">
    <w:name w:val="List Paragraph"/>
    <w:basedOn w:val="Normal"/>
    <w:uiPriority w:val="34"/>
    <w:qFormat/>
    <w:rsid w:val="0080487F"/>
    <w:pPr>
      <w:ind w:left="720"/>
      <w:contextualSpacing/>
    </w:pPr>
  </w:style>
  <w:style w:type="paragraph" w:styleId="Revision">
    <w:name w:val="Revision"/>
    <w:hidden/>
    <w:uiPriority w:val="99"/>
    <w:semiHidden/>
    <w:rsid w:val="00BF47C2"/>
    <w:pPr>
      <w:spacing w:after="0" w:line="240" w:lineRule="auto"/>
    </w:pPr>
    <w:rPr>
      <w:rFonts w:ascii="Times New Roman" w:hAnsi="Times New Roman"/>
      <w:sz w:val="26"/>
    </w:rPr>
  </w:style>
  <w:style w:type="paragraph" w:styleId="Header">
    <w:name w:val="header"/>
    <w:basedOn w:val="Normal"/>
    <w:link w:val="HeaderChar"/>
    <w:uiPriority w:val="99"/>
    <w:unhideWhenUsed/>
    <w:rsid w:val="00A97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745"/>
    <w:rPr>
      <w:rFonts w:ascii="Times New Roman" w:hAnsi="Times New Roman"/>
      <w:sz w:val="26"/>
    </w:rPr>
  </w:style>
  <w:style w:type="paragraph" w:styleId="Footer">
    <w:name w:val="footer"/>
    <w:basedOn w:val="Normal"/>
    <w:link w:val="FooterChar"/>
    <w:uiPriority w:val="99"/>
    <w:unhideWhenUsed/>
    <w:rsid w:val="00A97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745"/>
    <w:rPr>
      <w:rFonts w:ascii="Times New Roman" w:hAnsi="Times New Roman"/>
      <w:sz w:val="26"/>
    </w:rPr>
  </w:style>
  <w:style w:type="table" w:styleId="TableGrid">
    <w:name w:val="Table Grid"/>
    <w:basedOn w:val="TableNormal"/>
    <w:uiPriority w:val="59"/>
    <w:rsid w:val="00E156FC"/>
    <w:pPr>
      <w:spacing w:after="0" w:line="240" w:lineRule="auto"/>
    </w:pPr>
    <w:rPr>
      <w:rFonts w:ascii="Times New Roman" w:hAnsi="Times New Roman" w:cs="Times New Roman"/>
      <w:sz w:val="24"/>
      <w:szCs w:val="28"/>
      <w:lang w:val="en-GB" w:bidi="th-T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dNoteBibliographyChar">
    <w:name w:val="EndNote Bibliography Char"/>
    <w:basedOn w:val="DefaultParagraphFont"/>
    <w:link w:val="EndNoteBibliography"/>
    <w:locked/>
    <w:rsid w:val="00E156FC"/>
    <w:rPr>
      <w:rFonts w:ascii="Times New Roman" w:hAnsi="Times New Roman" w:cs="Times New Roman"/>
      <w:noProof/>
      <w:sz w:val="24"/>
    </w:rPr>
  </w:style>
  <w:style w:type="paragraph" w:customStyle="1" w:styleId="EndNoteBibliography">
    <w:name w:val="EndNote Bibliography"/>
    <w:basedOn w:val="Normal"/>
    <w:link w:val="EndNoteBibliographyChar"/>
    <w:rsid w:val="00E156FC"/>
    <w:pPr>
      <w:spacing w:after="200" w:line="480" w:lineRule="auto"/>
      <w:jc w:val="left"/>
    </w:pPr>
    <w:rPr>
      <w:rFonts w:cs="Times New Roman"/>
      <w:noProof/>
      <w:sz w:val="24"/>
    </w:rPr>
  </w:style>
  <w:style w:type="character" w:styleId="Strong">
    <w:name w:val="Strong"/>
    <w:basedOn w:val="DefaultParagraphFont"/>
    <w:uiPriority w:val="22"/>
    <w:qFormat/>
    <w:rsid w:val="00542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749A8-58CD-4F2B-8F39-6D7F1067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4080</Words>
  <Characters>23257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Lam Phuoc Thanh</cp:lastModifiedBy>
  <cp:revision>40</cp:revision>
  <dcterms:created xsi:type="dcterms:W3CDTF">2023-02-21T08:48:00Z</dcterms:created>
  <dcterms:modified xsi:type="dcterms:W3CDTF">2023-02-26T07:23:00Z</dcterms:modified>
</cp:coreProperties>
</file>